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3588" w14:textId="77777777" w:rsidR="00C30D67" w:rsidRPr="000A44C9" w:rsidRDefault="007868AE" w:rsidP="00B75867">
      <w:pPr>
        <w:pStyle w:val="Normal1"/>
        <w:spacing w:after="200" w:line="240" w:lineRule="auto"/>
        <w:jc w:val="right"/>
        <w:rPr>
          <w:rFonts w:asciiTheme="majorHAnsi" w:hAnsiTheme="majorHAnsi"/>
        </w:rPr>
      </w:pPr>
      <w:r w:rsidRPr="000A44C9">
        <w:rPr>
          <w:rFonts w:asciiTheme="majorHAnsi" w:hAnsiTheme="majorHAnsi"/>
          <w:b/>
          <w:bCs/>
          <w:i/>
          <w:iCs/>
          <w:color w:val="404040"/>
          <w:lang w:val="en-GB"/>
        </w:rPr>
        <w:t>Press release</w:t>
      </w:r>
    </w:p>
    <w:p w14:paraId="3E3B84F0" w14:textId="77777777" w:rsidR="00FE3528" w:rsidRDefault="00FE3528" w:rsidP="006E0B5D">
      <w:pPr>
        <w:pStyle w:val="Normal1"/>
        <w:spacing w:after="0" w:line="276" w:lineRule="auto"/>
        <w:jc w:val="center"/>
        <w:rPr>
          <w:rFonts w:asciiTheme="majorHAnsi" w:hAnsiTheme="majorHAnsi"/>
          <w:b/>
          <w:bCs/>
          <w:color w:val="323796"/>
          <w:sz w:val="32"/>
          <w:szCs w:val="32"/>
        </w:rPr>
      </w:pPr>
      <w:r>
        <w:rPr>
          <w:rFonts w:asciiTheme="majorHAnsi" w:hAnsiTheme="majorHAnsi"/>
          <w:b/>
          <w:bCs/>
          <w:color w:val="323796"/>
          <w:sz w:val="32"/>
          <w:szCs w:val="32"/>
        </w:rPr>
        <w:t xml:space="preserve">Pharnext </w:t>
      </w:r>
      <w:r w:rsidR="00B93E84">
        <w:rPr>
          <w:rFonts w:asciiTheme="majorHAnsi" w:hAnsiTheme="majorHAnsi"/>
          <w:b/>
          <w:bCs/>
          <w:color w:val="323796"/>
          <w:sz w:val="32"/>
          <w:szCs w:val="32"/>
        </w:rPr>
        <w:t>Reports</w:t>
      </w:r>
      <w:r w:rsidR="005C11C5">
        <w:rPr>
          <w:rFonts w:asciiTheme="majorHAnsi" w:hAnsiTheme="majorHAnsi"/>
          <w:b/>
          <w:bCs/>
          <w:color w:val="323796"/>
          <w:sz w:val="32"/>
          <w:szCs w:val="32"/>
        </w:rPr>
        <w:t xml:space="preserve"> </w:t>
      </w:r>
      <w:r w:rsidR="00B93E84">
        <w:rPr>
          <w:rFonts w:asciiTheme="majorHAnsi" w:hAnsiTheme="majorHAnsi"/>
          <w:b/>
          <w:bCs/>
          <w:color w:val="323796"/>
          <w:sz w:val="32"/>
          <w:szCs w:val="32"/>
        </w:rPr>
        <w:t>Year End</w:t>
      </w:r>
      <w:r w:rsidR="005C11C5">
        <w:rPr>
          <w:rFonts w:asciiTheme="majorHAnsi" w:hAnsiTheme="majorHAnsi"/>
          <w:b/>
          <w:bCs/>
          <w:color w:val="323796"/>
          <w:sz w:val="32"/>
          <w:szCs w:val="32"/>
        </w:rPr>
        <w:t xml:space="preserve"> 2016 Financial Results</w:t>
      </w:r>
      <w:r w:rsidR="005C11C5" w:rsidRPr="005C11C5">
        <w:rPr>
          <w:rFonts w:asciiTheme="majorHAnsi" w:hAnsiTheme="majorHAnsi"/>
          <w:b/>
          <w:bCs/>
          <w:color w:val="323796"/>
          <w:sz w:val="32"/>
          <w:szCs w:val="32"/>
        </w:rPr>
        <w:t xml:space="preserve"> </w:t>
      </w:r>
      <w:r w:rsidR="005C11C5" w:rsidRPr="005C11C5">
        <w:rPr>
          <w:rFonts w:asciiTheme="majorHAnsi" w:hAnsiTheme="majorHAnsi"/>
          <w:b/>
          <w:bCs/>
          <w:color w:val="323796"/>
          <w:sz w:val="32"/>
          <w:szCs w:val="32"/>
        </w:rPr>
        <w:cr/>
      </w:r>
    </w:p>
    <w:p w14:paraId="0C67BF8F" w14:textId="6FB27C10" w:rsidR="006E0B5D" w:rsidRDefault="007868AE" w:rsidP="006E0B5D">
      <w:pPr>
        <w:pStyle w:val="Sansinterligne"/>
        <w:spacing w:line="276" w:lineRule="auto"/>
        <w:jc w:val="both"/>
        <w:rPr>
          <w:rFonts w:asciiTheme="minorHAnsi" w:hAnsiTheme="minorHAnsi"/>
        </w:rPr>
      </w:pPr>
      <w:r w:rsidRPr="00F92301">
        <w:rPr>
          <w:rFonts w:asciiTheme="majorHAnsi" w:hAnsiTheme="majorHAnsi"/>
          <w:b/>
          <w:bCs/>
          <w:color w:val="323796"/>
          <w:highlight w:val="white"/>
        </w:rPr>
        <w:t>P</w:t>
      </w:r>
      <w:r w:rsidR="005F1C4D">
        <w:rPr>
          <w:rFonts w:asciiTheme="majorHAnsi" w:hAnsiTheme="majorHAnsi"/>
          <w:b/>
          <w:bCs/>
          <w:color w:val="323796"/>
          <w:highlight w:val="white"/>
        </w:rPr>
        <w:t>ARIS</w:t>
      </w:r>
      <w:r w:rsidRPr="00F92301">
        <w:rPr>
          <w:rFonts w:asciiTheme="majorHAnsi" w:hAnsiTheme="majorHAnsi"/>
          <w:b/>
          <w:bCs/>
          <w:color w:val="323796"/>
          <w:highlight w:val="white"/>
        </w:rPr>
        <w:t>, France</w:t>
      </w:r>
      <w:r w:rsidRPr="007949E1">
        <w:rPr>
          <w:rFonts w:asciiTheme="majorHAnsi" w:hAnsiTheme="majorHAnsi"/>
          <w:b/>
          <w:bCs/>
          <w:color w:val="323796"/>
        </w:rPr>
        <w:t xml:space="preserve">, </w:t>
      </w:r>
      <w:r w:rsidR="009B4B7D">
        <w:rPr>
          <w:rFonts w:asciiTheme="majorHAnsi" w:hAnsiTheme="majorHAnsi"/>
          <w:b/>
          <w:bCs/>
          <w:color w:val="323796"/>
        </w:rPr>
        <w:t>6:00pm</w:t>
      </w:r>
      <w:r w:rsidR="008762D7" w:rsidRPr="007949E1">
        <w:rPr>
          <w:rFonts w:asciiTheme="majorHAnsi" w:hAnsiTheme="majorHAnsi"/>
          <w:b/>
          <w:bCs/>
          <w:color w:val="323796"/>
        </w:rPr>
        <w:t>,</w:t>
      </w:r>
      <w:r w:rsidR="008762D7">
        <w:rPr>
          <w:rFonts w:asciiTheme="majorHAnsi" w:hAnsiTheme="majorHAnsi"/>
          <w:b/>
          <w:bCs/>
          <w:color w:val="323796"/>
        </w:rPr>
        <w:t xml:space="preserve"> </w:t>
      </w:r>
      <w:r w:rsidR="006E0B5D">
        <w:rPr>
          <w:rFonts w:asciiTheme="majorHAnsi" w:hAnsiTheme="majorHAnsi"/>
          <w:b/>
          <w:bCs/>
          <w:color w:val="323796"/>
        </w:rPr>
        <w:t>April</w:t>
      </w:r>
      <w:r w:rsidR="00C4610C">
        <w:rPr>
          <w:rFonts w:asciiTheme="majorHAnsi" w:hAnsiTheme="majorHAnsi"/>
          <w:b/>
          <w:bCs/>
          <w:color w:val="323796"/>
        </w:rPr>
        <w:t xml:space="preserve"> </w:t>
      </w:r>
      <w:r w:rsidR="00A6785F">
        <w:rPr>
          <w:rFonts w:asciiTheme="majorHAnsi" w:hAnsiTheme="majorHAnsi"/>
          <w:b/>
          <w:bCs/>
          <w:color w:val="323796"/>
        </w:rPr>
        <w:t>26</w:t>
      </w:r>
      <w:r w:rsidRPr="008762D7">
        <w:rPr>
          <w:rFonts w:asciiTheme="majorHAnsi" w:hAnsiTheme="majorHAnsi"/>
          <w:b/>
          <w:bCs/>
          <w:color w:val="323796"/>
        </w:rPr>
        <w:t xml:space="preserve">, </w:t>
      </w:r>
      <w:r w:rsidR="008762D7" w:rsidRPr="008762D7">
        <w:rPr>
          <w:rFonts w:asciiTheme="majorHAnsi" w:hAnsiTheme="majorHAnsi"/>
          <w:b/>
          <w:bCs/>
          <w:color w:val="323796"/>
        </w:rPr>
        <w:t>2017 (CEST)</w:t>
      </w:r>
      <w:r w:rsidRPr="008762D7">
        <w:rPr>
          <w:rFonts w:asciiTheme="majorHAnsi" w:hAnsiTheme="majorHAnsi"/>
          <w:b/>
          <w:bCs/>
          <w:color w:val="323796"/>
        </w:rPr>
        <w:t xml:space="preserve"> </w:t>
      </w:r>
      <w:r w:rsidRPr="00F92301">
        <w:rPr>
          <w:rFonts w:asciiTheme="majorHAnsi" w:hAnsiTheme="majorHAnsi"/>
          <w:b/>
          <w:bCs/>
          <w:color w:val="323796"/>
          <w:highlight w:val="white"/>
        </w:rPr>
        <w:t>–</w:t>
      </w:r>
      <w:r w:rsidRPr="00F92301">
        <w:rPr>
          <w:rFonts w:asciiTheme="majorHAnsi" w:hAnsiTheme="majorHAnsi"/>
          <w:color w:val="auto"/>
        </w:rPr>
        <w:t xml:space="preserve"> </w:t>
      </w:r>
      <w:r w:rsidRPr="00F92301">
        <w:rPr>
          <w:rFonts w:asciiTheme="majorHAnsi" w:hAnsiTheme="majorHAnsi"/>
          <w:b/>
          <w:bCs/>
          <w:color w:val="323796"/>
          <w:highlight w:val="white"/>
        </w:rPr>
        <w:t>Pharnext SA (FR00111911287 - ALPHA)</w:t>
      </w:r>
      <w:r w:rsidRPr="00F92301">
        <w:rPr>
          <w:rFonts w:asciiTheme="majorHAnsi" w:hAnsiTheme="majorHAnsi"/>
          <w:b/>
          <w:bCs/>
        </w:rPr>
        <w:t>,</w:t>
      </w:r>
      <w:r w:rsidRPr="00F92301">
        <w:rPr>
          <w:rFonts w:asciiTheme="majorHAnsi" w:hAnsiTheme="majorHAnsi"/>
        </w:rPr>
        <w:t xml:space="preserve"> </w:t>
      </w:r>
      <w:r w:rsidRPr="00F92301">
        <w:rPr>
          <w:rFonts w:asciiTheme="minorHAnsi" w:hAnsiTheme="minorHAnsi"/>
        </w:rPr>
        <w:t>a French biopharmaceutical company developing an advanced portfolio of products in the field of neurodegenerative diseases</w:t>
      </w:r>
      <w:r w:rsidR="00A6785F">
        <w:rPr>
          <w:rFonts w:asciiTheme="minorHAnsi" w:hAnsiTheme="minorHAnsi"/>
        </w:rPr>
        <w:t>,</w:t>
      </w:r>
      <w:r w:rsidR="006E0B5D" w:rsidRPr="006E0B5D">
        <w:rPr>
          <w:rFonts w:asciiTheme="minorHAnsi" w:hAnsiTheme="minorHAnsi"/>
        </w:rPr>
        <w:t xml:space="preserve"> today</w:t>
      </w:r>
      <w:r w:rsidR="00A6785F">
        <w:rPr>
          <w:rFonts w:asciiTheme="minorHAnsi" w:hAnsiTheme="minorHAnsi"/>
        </w:rPr>
        <w:t xml:space="preserve"> </w:t>
      </w:r>
      <w:r w:rsidR="00B93E84">
        <w:rPr>
          <w:rFonts w:asciiTheme="minorHAnsi" w:hAnsiTheme="minorHAnsi"/>
        </w:rPr>
        <w:t>reported</w:t>
      </w:r>
      <w:r w:rsidR="00A6785F">
        <w:rPr>
          <w:rFonts w:asciiTheme="minorHAnsi" w:hAnsiTheme="minorHAnsi"/>
        </w:rPr>
        <w:t xml:space="preserve"> its </w:t>
      </w:r>
      <w:r w:rsidR="00A6785F">
        <w:t>financial and operational results for the year ended December 31, 2016.</w:t>
      </w:r>
      <w:r w:rsidR="007B5F1C">
        <w:rPr>
          <w:rFonts w:asciiTheme="minorHAnsi" w:hAnsiTheme="minorHAnsi"/>
        </w:rPr>
        <w:t xml:space="preserve"> </w:t>
      </w:r>
      <w:r w:rsidR="006E0B5D" w:rsidRPr="006E0B5D">
        <w:rPr>
          <w:rFonts w:asciiTheme="minorHAnsi" w:hAnsiTheme="minorHAnsi"/>
        </w:rPr>
        <w:t xml:space="preserve"> </w:t>
      </w:r>
    </w:p>
    <w:p w14:paraId="032C98A9" w14:textId="77777777" w:rsidR="007B5F1C" w:rsidRDefault="007B5F1C" w:rsidP="006E0B5D">
      <w:pPr>
        <w:spacing w:after="240"/>
        <w:rPr>
          <w:rFonts w:asciiTheme="minorHAnsi" w:hAnsiTheme="minorHAnsi"/>
        </w:rPr>
      </w:pPr>
    </w:p>
    <w:p w14:paraId="60E9385A" w14:textId="77777777" w:rsidR="007F30BB" w:rsidRPr="00D77B0C" w:rsidRDefault="00064854" w:rsidP="0064668B">
      <w:pPr>
        <w:pStyle w:val="NormalText"/>
        <w:spacing w:after="160" w:line="276" w:lineRule="auto"/>
        <w:jc w:val="both"/>
        <w:rPr>
          <w:rFonts w:asciiTheme="majorHAnsi" w:eastAsia="Calibri" w:hAnsiTheme="majorHAnsi" w:cstheme="minorHAnsi"/>
          <w:b/>
          <w:bCs/>
          <w:color w:val="323796"/>
          <w:sz w:val="22"/>
          <w:szCs w:val="22"/>
        </w:rPr>
      </w:pPr>
      <w:r w:rsidRPr="00D77B0C">
        <w:rPr>
          <w:rFonts w:asciiTheme="majorHAnsi" w:eastAsia="Calibri" w:hAnsiTheme="majorHAnsi" w:cstheme="minorHAnsi"/>
          <w:b/>
          <w:bCs/>
          <w:color w:val="323796"/>
          <w:sz w:val="22"/>
          <w:szCs w:val="22"/>
        </w:rPr>
        <w:t xml:space="preserve">2016 KEY </w:t>
      </w:r>
      <w:r>
        <w:rPr>
          <w:rFonts w:asciiTheme="majorHAnsi" w:eastAsia="Calibri" w:hAnsiTheme="majorHAnsi" w:cstheme="minorHAnsi"/>
          <w:b/>
          <w:bCs/>
          <w:color w:val="323796"/>
          <w:sz w:val="22"/>
          <w:szCs w:val="22"/>
        </w:rPr>
        <w:t>EVENTS</w:t>
      </w:r>
    </w:p>
    <w:p w14:paraId="6E23ADEF" w14:textId="4A1C4895" w:rsidR="008E5010" w:rsidRDefault="007F30BB" w:rsidP="005942FC">
      <w:pPr>
        <w:pStyle w:val="Sansinterligne"/>
        <w:spacing w:after="160" w:line="276" w:lineRule="auto"/>
        <w:jc w:val="both"/>
      </w:pPr>
      <w:r>
        <w:t>Over the course of year</w:t>
      </w:r>
      <w:r w:rsidR="00B93E84">
        <w:t>,</w:t>
      </w:r>
      <w:r w:rsidR="00A6440B">
        <w:t xml:space="preserve"> </w:t>
      </w:r>
      <w:r w:rsidR="00064854">
        <w:t xml:space="preserve">in line </w:t>
      </w:r>
      <w:r w:rsidR="0004530F">
        <w:t xml:space="preserve">with </w:t>
      </w:r>
      <w:r w:rsidR="00064854">
        <w:t xml:space="preserve">the </w:t>
      </w:r>
      <w:r w:rsidR="00A6440B">
        <w:t>objectives</w:t>
      </w:r>
      <w:r w:rsidR="00B93E84">
        <w:t xml:space="preserve"> announced </w:t>
      </w:r>
      <w:r>
        <w:t>at the time of</w:t>
      </w:r>
      <w:r w:rsidR="00A6440B">
        <w:t xml:space="preserve"> </w:t>
      </w:r>
      <w:r w:rsidR="00B93E84">
        <w:t xml:space="preserve">its </w:t>
      </w:r>
      <w:r w:rsidR="00A6440B">
        <w:t xml:space="preserve">IPO, Pharnext </w:t>
      </w:r>
      <w:r w:rsidR="0004530F">
        <w:t xml:space="preserve">rolled out </w:t>
      </w:r>
      <w:r w:rsidR="00064854">
        <w:t xml:space="preserve">the international Phase 3 trial of </w:t>
      </w:r>
      <w:r w:rsidR="00A6440B">
        <w:t>it</w:t>
      </w:r>
      <w:r w:rsidR="00810C95">
        <w:t>s</w:t>
      </w:r>
      <w:r w:rsidR="00A6440B">
        <w:t xml:space="preserve"> </w:t>
      </w:r>
      <w:r w:rsidR="00B93E84">
        <w:t xml:space="preserve">lead clinical </w:t>
      </w:r>
      <w:r w:rsidR="00A6440B">
        <w:t xml:space="preserve">candidate </w:t>
      </w:r>
      <w:r w:rsidR="00064854">
        <w:t xml:space="preserve">PXT3003 for the treatment of </w:t>
      </w:r>
      <w:r w:rsidR="00A6440B">
        <w:t>Charcot-Marie-Tooth type 1A (</w:t>
      </w:r>
      <w:r w:rsidR="00064854">
        <w:t>CMT1A</w:t>
      </w:r>
      <w:r w:rsidR="00CD367C">
        <w:t>)</w:t>
      </w:r>
      <w:r w:rsidR="0064668B">
        <w:t xml:space="preserve"> disease</w:t>
      </w:r>
      <w:r w:rsidR="00B6086D">
        <w:t xml:space="preserve">: patient enrollment was completed in December 2016 </w:t>
      </w:r>
      <w:r w:rsidR="00B6086D" w:rsidRPr="009B4B7D">
        <w:rPr>
          <w:color w:val="000000" w:themeColor="text1"/>
        </w:rPr>
        <w:t>as planned (3</w:t>
      </w:r>
      <w:r w:rsidR="00B6086D">
        <w:t xml:space="preserve">23 patients in total across 3 arms). </w:t>
      </w:r>
      <w:r w:rsidR="00A6440B">
        <w:t xml:space="preserve"> This </w:t>
      </w:r>
      <w:r w:rsidR="00B6086D">
        <w:t>p</w:t>
      </w:r>
      <w:r w:rsidR="00A6440B">
        <w:t xml:space="preserve">ivotal 15-month Phase 3 trial </w:t>
      </w:r>
      <w:r w:rsidR="00B93E84">
        <w:t>is being conducted at</w:t>
      </w:r>
      <w:r w:rsidR="00A6440B">
        <w:t xml:space="preserve"> 29 sites including 17 in Europ</w:t>
      </w:r>
      <w:r w:rsidR="00F26DF4">
        <w:t xml:space="preserve">e, 11 in the United States </w:t>
      </w:r>
      <w:r w:rsidR="00DE4B90">
        <w:t>(U</w:t>
      </w:r>
      <w:r w:rsidR="00A702C1">
        <w:t>.</w:t>
      </w:r>
      <w:r w:rsidR="00DE4B90">
        <w:t>S</w:t>
      </w:r>
      <w:r w:rsidR="00A702C1">
        <w:t>.</w:t>
      </w:r>
      <w:r w:rsidR="00DE4B90">
        <w:t xml:space="preserve">) </w:t>
      </w:r>
      <w:r w:rsidR="00F26DF4">
        <w:t>and one</w:t>
      </w:r>
      <w:r w:rsidR="00A6440B">
        <w:t xml:space="preserve"> in Canada. The </w:t>
      </w:r>
      <w:r w:rsidR="008E5010">
        <w:t>first pre-specified evaluation of PXT3003 safety data</w:t>
      </w:r>
      <w:r w:rsidR="0004530F">
        <w:t xml:space="preserve"> was conducted in</w:t>
      </w:r>
      <w:r w:rsidR="008E5010">
        <w:t xml:space="preserve"> November 2016 by the independent Data Safety Monitoring Board (DSMB). Based on this review</w:t>
      </w:r>
      <w:r w:rsidR="00F26DF4">
        <w:t>,</w:t>
      </w:r>
      <w:r w:rsidR="008E5010">
        <w:t xml:space="preserve"> the DSMB recommended continuing the study as planned.</w:t>
      </w:r>
    </w:p>
    <w:p w14:paraId="69D4A77A" w14:textId="55797E7E" w:rsidR="008E5010" w:rsidRDefault="008E5010" w:rsidP="005942FC">
      <w:pPr>
        <w:pStyle w:val="Sansinterligne"/>
        <w:spacing w:after="160" w:line="276" w:lineRule="auto"/>
        <w:jc w:val="both"/>
      </w:pPr>
      <w:r>
        <w:t xml:space="preserve">Regarding PXT864, its second </w:t>
      </w:r>
      <w:r w:rsidR="007F30BB">
        <w:t xml:space="preserve">lead </w:t>
      </w:r>
      <w:r>
        <w:t xml:space="preserve">drug </w:t>
      </w:r>
      <w:r w:rsidR="0004530F">
        <w:t>in clinical development</w:t>
      </w:r>
      <w:r>
        <w:t xml:space="preserve"> for the treatment of Alzheimer’s disease, Pharnext completed the results analysis of </w:t>
      </w:r>
      <w:r w:rsidR="00CD367C">
        <w:t>its Phase 2</w:t>
      </w:r>
      <w:r w:rsidR="00F26DF4">
        <w:t>a</w:t>
      </w:r>
      <w:r w:rsidR="00CD367C">
        <w:t xml:space="preserve"> study. The </w:t>
      </w:r>
      <w:r w:rsidR="008E1DC4">
        <w:t xml:space="preserve">Company </w:t>
      </w:r>
      <w:r>
        <w:t xml:space="preserve">was invited to present these </w:t>
      </w:r>
      <w:r w:rsidR="00B41414">
        <w:t xml:space="preserve">promising </w:t>
      </w:r>
      <w:r>
        <w:t xml:space="preserve">results </w:t>
      </w:r>
      <w:r w:rsidR="00B41414">
        <w:t xml:space="preserve">during the </w:t>
      </w:r>
      <w:r w:rsidR="00D320FF">
        <w:t>annual</w:t>
      </w:r>
      <w:r>
        <w:t xml:space="preserve"> </w:t>
      </w:r>
      <w:r w:rsidR="00B41414">
        <w:t>CTAD</w:t>
      </w:r>
      <w:r w:rsidR="00D320FF">
        <w:t xml:space="preserve"> </w:t>
      </w:r>
      <w:r w:rsidR="00B41414">
        <w:t>(</w:t>
      </w:r>
      <w:r w:rsidR="00B41414" w:rsidRPr="00B41414">
        <w:t>Clinical Trials on Alzheimer’s Disease)</w:t>
      </w:r>
      <w:r w:rsidR="00B41414">
        <w:t xml:space="preserve"> </w:t>
      </w:r>
      <w:r w:rsidR="00D320FF">
        <w:t>congress</w:t>
      </w:r>
      <w:r w:rsidR="00D320FF" w:rsidDel="00D320FF">
        <w:t xml:space="preserve"> </w:t>
      </w:r>
      <w:r>
        <w:t xml:space="preserve">organized in San Diego </w:t>
      </w:r>
      <w:r w:rsidR="00D320FF">
        <w:t>in December 2016.</w:t>
      </w:r>
    </w:p>
    <w:p w14:paraId="1E29E4B0" w14:textId="77777777" w:rsidR="008E5010" w:rsidRDefault="000931BB" w:rsidP="006965E3">
      <w:pPr>
        <w:pStyle w:val="Sansinterligne"/>
        <w:spacing w:line="276" w:lineRule="auto"/>
        <w:jc w:val="both"/>
      </w:pPr>
      <w:proofErr w:type="spellStart"/>
      <w:r>
        <w:t>Pharnext’s</w:t>
      </w:r>
      <w:proofErr w:type="spellEnd"/>
      <w:r w:rsidR="00F26DF4">
        <w:t xml:space="preserve"> </w:t>
      </w:r>
      <w:r w:rsidR="008E5010">
        <w:t xml:space="preserve">listing on the Euronext </w:t>
      </w:r>
      <w:proofErr w:type="spellStart"/>
      <w:r w:rsidR="008E5010">
        <w:t>Alternext</w:t>
      </w:r>
      <w:proofErr w:type="spellEnd"/>
      <w:r w:rsidR="008E5010">
        <w:t xml:space="preserve"> stock </w:t>
      </w:r>
      <w:r>
        <w:t xml:space="preserve">exchange in July 2016, a key milestone for the year, </w:t>
      </w:r>
      <w:r w:rsidR="00206EF9">
        <w:t>enabl</w:t>
      </w:r>
      <w:r>
        <w:t>ed</w:t>
      </w:r>
      <w:r w:rsidR="008E5010" w:rsidRPr="008E5010">
        <w:t xml:space="preserve"> </w:t>
      </w:r>
      <w:r w:rsidR="0064668B">
        <w:t>the Company</w:t>
      </w:r>
      <w:r w:rsidR="0064668B" w:rsidRPr="008E5010">
        <w:t xml:space="preserve"> </w:t>
      </w:r>
      <w:r w:rsidR="008E5010" w:rsidRPr="008E5010">
        <w:t>to strengthen its equity and its cash</w:t>
      </w:r>
      <w:r>
        <w:t xml:space="preserve"> by </w:t>
      </w:r>
      <w:r w:rsidR="004D3BE4">
        <w:t>rais</w:t>
      </w:r>
      <w:r>
        <w:t>ing</w:t>
      </w:r>
      <w:r w:rsidR="004D3BE4">
        <w:t xml:space="preserve"> 30,9m€</w:t>
      </w:r>
      <w:r>
        <w:t>. The</w:t>
      </w:r>
      <w:r w:rsidR="004D3BE4">
        <w:t xml:space="preserve"> convertibles bonds </w:t>
      </w:r>
      <w:r w:rsidR="0004530F">
        <w:t>held</w:t>
      </w:r>
      <w:r w:rsidR="004D3BE4">
        <w:t xml:space="preserve"> by </w:t>
      </w:r>
      <w:r w:rsidR="0004530F">
        <w:t>historic shareholders were converted</w:t>
      </w:r>
      <w:r>
        <w:t xml:space="preserve"> into </w:t>
      </w:r>
      <w:r w:rsidR="00206EF9">
        <w:t>equity.</w:t>
      </w:r>
    </w:p>
    <w:p w14:paraId="483706F5" w14:textId="77777777" w:rsidR="00064854" w:rsidRDefault="00064854" w:rsidP="006965E3">
      <w:pPr>
        <w:pStyle w:val="Sansinterligne"/>
        <w:spacing w:line="276" w:lineRule="auto"/>
        <w:jc w:val="both"/>
        <w:rPr>
          <w:rFonts w:asciiTheme="minorHAnsi" w:hAnsiTheme="minorHAnsi" w:cstheme="minorHAnsi"/>
        </w:rPr>
      </w:pPr>
    </w:p>
    <w:p w14:paraId="0212C8BD" w14:textId="77777777" w:rsidR="00064854" w:rsidRDefault="00064854" w:rsidP="007F30BB">
      <w:pPr>
        <w:pStyle w:val="NormalText"/>
        <w:spacing w:after="160" w:line="276" w:lineRule="auto"/>
        <w:jc w:val="both"/>
        <w:rPr>
          <w:rFonts w:asciiTheme="majorHAnsi" w:eastAsia="Calibri" w:hAnsiTheme="majorHAnsi" w:cstheme="minorHAnsi"/>
          <w:b/>
          <w:bCs/>
          <w:color w:val="323796"/>
          <w:sz w:val="22"/>
          <w:szCs w:val="22"/>
        </w:rPr>
      </w:pPr>
      <w:r w:rsidRPr="00064854">
        <w:rPr>
          <w:rFonts w:asciiTheme="majorHAnsi" w:eastAsia="Calibri" w:hAnsiTheme="majorHAnsi" w:cstheme="minorHAnsi"/>
          <w:b/>
          <w:bCs/>
          <w:color w:val="323796"/>
          <w:sz w:val="22"/>
          <w:szCs w:val="22"/>
        </w:rPr>
        <w:t>SELECTED FINANCIAL INFORMATION</w:t>
      </w:r>
    </w:p>
    <w:p w14:paraId="25ABA512" w14:textId="44D1C007" w:rsidR="001F6000" w:rsidRDefault="00206EF9" w:rsidP="006965E3">
      <w:pPr>
        <w:pStyle w:val="Sansinterligne"/>
        <w:spacing w:line="276" w:lineRule="auto"/>
        <w:jc w:val="both"/>
      </w:pPr>
      <w:r>
        <w:t xml:space="preserve">The main elements of </w:t>
      </w:r>
      <w:r w:rsidR="00036160">
        <w:t xml:space="preserve">the year-end 2016 </w:t>
      </w:r>
      <w:r>
        <w:t>financials</w:t>
      </w:r>
      <w:r w:rsidR="001F6000" w:rsidRPr="001F6000">
        <w:t xml:space="preserve"> are set</w:t>
      </w:r>
      <w:r>
        <w:t xml:space="preserve"> </w:t>
      </w:r>
      <w:r w:rsidR="001F6000" w:rsidRPr="001F6000">
        <w:t xml:space="preserve">out in the table </w:t>
      </w:r>
      <w:r w:rsidR="00CD367C" w:rsidRPr="001F6000">
        <w:t>below</w:t>
      </w:r>
      <w:r w:rsidR="00CD367C">
        <w:t>:</w:t>
      </w:r>
      <w:r w:rsidR="001F6000">
        <w:t xml:space="preserve"> t</w:t>
      </w:r>
      <w:r w:rsidR="0004530F">
        <w:t>hese are taken from the</w:t>
      </w:r>
      <w:r w:rsidR="001F6000">
        <w:t xml:space="preserve"> financial statements drawn up under IFRS, which were approved by the Board of Directors </w:t>
      </w:r>
      <w:r w:rsidR="007F30BB">
        <w:t xml:space="preserve">at its meeting </w:t>
      </w:r>
      <w:r w:rsidR="001F6000">
        <w:t xml:space="preserve">on April </w:t>
      </w:r>
      <w:r w:rsidR="00036160">
        <w:t xml:space="preserve">20, </w:t>
      </w:r>
      <w:r w:rsidR="001F6000">
        <w:t xml:space="preserve">2017. The audit procedures have been carried out and </w:t>
      </w:r>
      <w:r>
        <w:t>the auditors’</w:t>
      </w:r>
      <w:r w:rsidR="001F6000">
        <w:t xml:space="preserve"> report relating to the certification of the </w:t>
      </w:r>
      <w:r>
        <w:t>accounts</w:t>
      </w:r>
      <w:r w:rsidR="001F6000">
        <w:t xml:space="preserve"> is in the process of being issued. The full financial statements are available on the Company’s </w:t>
      </w:r>
      <w:r w:rsidR="00CD367C">
        <w:t>website:</w:t>
      </w:r>
      <w:r w:rsidR="001F6000">
        <w:t xml:space="preserve"> </w:t>
      </w:r>
      <w:hyperlink r:id="rId8" w:history="1">
        <w:r w:rsidR="001F6000" w:rsidRPr="00A41A7C">
          <w:rPr>
            <w:rStyle w:val="Lienhypertexte"/>
          </w:rPr>
          <w:t>www.pharnext.com</w:t>
        </w:r>
      </w:hyperlink>
      <w:r w:rsidR="001F6000">
        <w:t xml:space="preserve"> </w:t>
      </w:r>
    </w:p>
    <w:p w14:paraId="44E8760A" w14:textId="77777777" w:rsidR="004E1B30" w:rsidRDefault="004E1B30" w:rsidP="001F6000">
      <w:pPr>
        <w:pStyle w:val="Sansinterligne"/>
        <w:spacing w:line="276" w:lineRule="auto"/>
        <w:jc w:val="both"/>
      </w:pPr>
    </w:p>
    <w:p w14:paraId="25052797" w14:textId="77777777" w:rsidR="00FF1FC0" w:rsidRDefault="00FF1FC0" w:rsidP="001F6000">
      <w:pPr>
        <w:pStyle w:val="Sansinterligne"/>
        <w:spacing w:line="276" w:lineRule="auto"/>
        <w:jc w:val="both"/>
        <w:rPr>
          <w:highlight w:val="yellow"/>
        </w:rPr>
      </w:pPr>
    </w:p>
    <w:p w14:paraId="51CC8A0C" w14:textId="77777777" w:rsidR="000931BB" w:rsidRDefault="000931BB" w:rsidP="001F6000">
      <w:pPr>
        <w:pStyle w:val="Sansinterligne"/>
        <w:spacing w:line="276" w:lineRule="auto"/>
        <w:jc w:val="both"/>
        <w:rPr>
          <w:highlight w:val="yellow"/>
        </w:rPr>
      </w:pPr>
    </w:p>
    <w:p w14:paraId="2ED8BF0F" w14:textId="5B3EC77E" w:rsidR="000931BB" w:rsidRDefault="000931BB" w:rsidP="001F6000">
      <w:pPr>
        <w:pStyle w:val="Sansinterligne"/>
        <w:spacing w:line="276" w:lineRule="auto"/>
        <w:jc w:val="both"/>
        <w:rPr>
          <w:highlight w:val="yellow"/>
        </w:rPr>
      </w:pPr>
    </w:p>
    <w:p w14:paraId="1278269C" w14:textId="77777777" w:rsidR="00D34954" w:rsidRDefault="00D34954" w:rsidP="001F6000">
      <w:pPr>
        <w:pStyle w:val="Sansinterligne"/>
        <w:spacing w:line="276" w:lineRule="auto"/>
        <w:jc w:val="both"/>
        <w:rPr>
          <w:highlight w:val="yellow"/>
        </w:rPr>
      </w:pPr>
    </w:p>
    <w:p w14:paraId="4C266DFA" w14:textId="77777777" w:rsidR="000931BB" w:rsidRDefault="000931BB" w:rsidP="001F6000">
      <w:pPr>
        <w:pStyle w:val="Sansinterligne"/>
        <w:spacing w:line="276" w:lineRule="auto"/>
        <w:jc w:val="both"/>
        <w:rPr>
          <w:highlight w:val="yellow"/>
        </w:rPr>
      </w:pPr>
    </w:p>
    <w:tbl>
      <w:tblPr>
        <w:tblStyle w:val="TableauGrille1Clair-Accentuation5"/>
        <w:tblW w:w="0" w:type="auto"/>
        <w:tblBorders>
          <w:top w:val="none" w:sz="0" w:space="0" w:color="auto"/>
          <w:left w:val="none" w:sz="0" w:space="0" w:color="auto"/>
          <w:bottom w:val="single" w:sz="4" w:space="0" w:color="323796"/>
          <w:right w:val="none" w:sz="0" w:space="0" w:color="auto"/>
          <w:insideH w:val="none" w:sz="0" w:space="0" w:color="auto"/>
          <w:insideV w:val="none" w:sz="0" w:space="0" w:color="auto"/>
        </w:tblBorders>
        <w:tblLook w:val="04A0" w:firstRow="1" w:lastRow="0" w:firstColumn="1" w:lastColumn="0" w:noHBand="0" w:noVBand="1"/>
      </w:tblPr>
      <w:tblGrid>
        <w:gridCol w:w="5778"/>
        <w:gridCol w:w="2127"/>
        <w:gridCol w:w="2014"/>
      </w:tblGrid>
      <w:tr w:rsidR="00FB2D61" w:rsidRPr="002D5763" w14:paraId="707BC3DB" w14:textId="77777777" w:rsidTr="00D32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gridSpan w:val="3"/>
            <w:tcBorders>
              <w:bottom w:val="nil"/>
            </w:tcBorders>
            <w:shd w:val="clear" w:color="auto" w:fill="323796"/>
          </w:tcPr>
          <w:p w14:paraId="7955ED41" w14:textId="1CA70A90" w:rsidR="00D5409E" w:rsidRPr="00796920" w:rsidRDefault="00D5409E" w:rsidP="002D5763">
            <w:pPr>
              <w:pStyle w:val="Sansinterligne"/>
              <w:spacing w:line="276" w:lineRule="auto"/>
              <w:jc w:val="right"/>
              <w:rPr>
                <w:color w:val="FFFFFF" w:themeColor="background1"/>
                <w:lang w:val="en-US"/>
              </w:rPr>
            </w:pPr>
            <w:r w:rsidRPr="00796920">
              <w:rPr>
                <w:color w:val="FFFFFF" w:themeColor="background1"/>
                <w:lang w:val="en-US"/>
              </w:rPr>
              <w:lastRenderedPageBreak/>
              <w:t>Selected financia</w:t>
            </w:r>
            <w:r w:rsidR="007949E1">
              <w:rPr>
                <w:color w:val="FFFFFF" w:themeColor="background1"/>
                <w:lang w:val="en-US"/>
              </w:rPr>
              <w:t>l information (IFRS</w:t>
            </w:r>
            <w:r w:rsidRPr="00796920">
              <w:rPr>
                <w:color w:val="FFFFFF" w:themeColor="background1"/>
                <w:lang w:val="en-US"/>
              </w:rPr>
              <w:t xml:space="preserve"> financial statements)</w:t>
            </w:r>
          </w:p>
        </w:tc>
      </w:tr>
      <w:tr w:rsidR="00D5409E" w:rsidRPr="000C5544" w14:paraId="0B66F86C" w14:textId="77777777" w:rsidTr="00D320FF">
        <w:tc>
          <w:tcPr>
            <w:cnfStyle w:val="001000000000" w:firstRow="0" w:lastRow="0" w:firstColumn="1" w:lastColumn="0" w:oddVBand="0" w:evenVBand="0" w:oddHBand="0" w:evenHBand="0" w:firstRowFirstColumn="0" w:firstRowLastColumn="0" w:lastRowFirstColumn="0" w:lastRowLastColumn="0"/>
            <w:tcW w:w="5778" w:type="dxa"/>
            <w:tcBorders>
              <w:bottom w:val="single" w:sz="8" w:space="0" w:color="323796"/>
            </w:tcBorders>
          </w:tcPr>
          <w:p w14:paraId="5715A277" w14:textId="77777777" w:rsidR="00D5409E" w:rsidRPr="000C5544" w:rsidRDefault="00D5409E" w:rsidP="002D5763">
            <w:pPr>
              <w:pStyle w:val="Sansinterligne"/>
              <w:spacing w:line="276" w:lineRule="auto"/>
              <w:jc w:val="both"/>
              <w:rPr>
                <w:b w:val="0"/>
                <w:i/>
                <w:lang w:val="en-US"/>
              </w:rPr>
            </w:pPr>
            <w:r w:rsidRPr="000C5544">
              <w:rPr>
                <w:b w:val="0"/>
                <w:i/>
                <w:sz w:val="18"/>
                <w:lang w:val="en-US"/>
              </w:rPr>
              <w:t xml:space="preserve">In </w:t>
            </w:r>
            <w:r>
              <w:rPr>
                <w:b w:val="0"/>
                <w:i/>
                <w:sz w:val="18"/>
                <w:lang w:val="en-US"/>
              </w:rPr>
              <w:t>kilo</w:t>
            </w:r>
            <w:r w:rsidRPr="000C5544">
              <w:rPr>
                <w:b w:val="0"/>
                <w:i/>
                <w:sz w:val="18"/>
                <w:lang w:val="en-US"/>
              </w:rPr>
              <w:t xml:space="preserve"> euros</w:t>
            </w:r>
            <w:r w:rsidR="002F3F2C">
              <w:rPr>
                <w:b w:val="0"/>
                <w:i/>
                <w:sz w:val="18"/>
                <w:lang w:val="en-US"/>
              </w:rPr>
              <w:t xml:space="preserve"> </w:t>
            </w:r>
          </w:p>
        </w:tc>
        <w:tc>
          <w:tcPr>
            <w:tcW w:w="2127" w:type="dxa"/>
            <w:tcBorders>
              <w:bottom w:val="single" w:sz="8" w:space="0" w:color="323796"/>
            </w:tcBorders>
            <w:shd w:val="clear" w:color="auto" w:fill="EBECF9"/>
          </w:tcPr>
          <w:p w14:paraId="74069D72"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2016</w:t>
            </w:r>
          </w:p>
        </w:tc>
        <w:tc>
          <w:tcPr>
            <w:tcW w:w="2014" w:type="dxa"/>
            <w:tcBorders>
              <w:bottom w:val="single" w:sz="8" w:space="0" w:color="323796"/>
            </w:tcBorders>
          </w:tcPr>
          <w:p w14:paraId="3CD32609"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2015</w:t>
            </w:r>
          </w:p>
        </w:tc>
      </w:tr>
      <w:tr w:rsidR="00D5409E" w:rsidRPr="000C5544" w14:paraId="317CE3C1" w14:textId="77777777" w:rsidTr="00D320FF">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323796"/>
            </w:tcBorders>
          </w:tcPr>
          <w:p w14:paraId="0854EFD9" w14:textId="77777777" w:rsidR="00D5409E" w:rsidRPr="000C5544" w:rsidRDefault="00D5409E" w:rsidP="002D5763">
            <w:pPr>
              <w:pStyle w:val="Sansinterligne"/>
              <w:spacing w:line="276" w:lineRule="auto"/>
              <w:jc w:val="both"/>
              <w:rPr>
                <w:b w:val="0"/>
                <w:lang w:val="en-US"/>
              </w:rPr>
            </w:pPr>
            <w:r w:rsidRPr="000C5544">
              <w:rPr>
                <w:b w:val="0"/>
                <w:lang w:val="en-US"/>
              </w:rPr>
              <w:t>Operating Revenue</w:t>
            </w:r>
            <w:r w:rsidR="000D357B">
              <w:rPr>
                <w:b w:val="0"/>
                <w:lang w:val="en-US"/>
              </w:rPr>
              <w:t>s</w:t>
            </w:r>
          </w:p>
        </w:tc>
        <w:tc>
          <w:tcPr>
            <w:tcW w:w="2127" w:type="dxa"/>
            <w:tcBorders>
              <w:top w:val="single" w:sz="8" w:space="0" w:color="323796"/>
            </w:tcBorders>
            <w:shd w:val="clear" w:color="auto" w:fill="EBECF9"/>
          </w:tcPr>
          <w:p w14:paraId="3D821C8B"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lang w:val="en-US"/>
              </w:rPr>
            </w:pPr>
            <w:r w:rsidRPr="000C5544">
              <w:rPr>
                <w:lang w:val="en-US"/>
              </w:rPr>
              <w:t>4 436</w:t>
            </w:r>
          </w:p>
        </w:tc>
        <w:tc>
          <w:tcPr>
            <w:tcW w:w="2014" w:type="dxa"/>
            <w:tcBorders>
              <w:top w:val="single" w:sz="8" w:space="0" w:color="323796"/>
            </w:tcBorders>
          </w:tcPr>
          <w:p w14:paraId="438DC9A0"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lang w:val="en-US"/>
              </w:rPr>
            </w:pPr>
            <w:r w:rsidRPr="000C5544">
              <w:rPr>
                <w:lang w:val="en-US"/>
              </w:rPr>
              <w:t>2 631</w:t>
            </w:r>
          </w:p>
        </w:tc>
      </w:tr>
      <w:tr w:rsidR="00D5409E" w:rsidRPr="000C5544" w14:paraId="3F65F67C" w14:textId="77777777" w:rsidTr="002D5763">
        <w:tc>
          <w:tcPr>
            <w:cnfStyle w:val="001000000000" w:firstRow="0" w:lastRow="0" w:firstColumn="1" w:lastColumn="0" w:oddVBand="0" w:evenVBand="0" w:oddHBand="0" w:evenHBand="0" w:firstRowFirstColumn="0" w:firstRowLastColumn="0" w:lastRowFirstColumn="0" w:lastRowLastColumn="0"/>
            <w:tcW w:w="5778" w:type="dxa"/>
          </w:tcPr>
          <w:p w14:paraId="1F3A3AC8" w14:textId="77777777" w:rsidR="00D5409E" w:rsidRPr="000C5544" w:rsidRDefault="00D5409E" w:rsidP="002D5763">
            <w:pPr>
              <w:pStyle w:val="Sansinterligne"/>
              <w:spacing w:line="276" w:lineRule="auto"/>
              <w:jc w:val="both"/>
              <w:rPr>
                <w:b w:val="0"/>
                <w:lang w:val="en-US"/>
              </w:rPr>
            </w:pPr>
            <w:r w:rsidRPr="000C5544">
              <w:rPr>
                <w:b w:val="0"/>
                <w:lang w:val="en-US"/>
              </w:rPr>
              <w:t>Research and Development expenses</w:t>
            </w:r>
          </w:p>
        </w:tc>
        <w:tc>
          <w:tcPr>
            <w:tcW w:w="2127" w:type="dxa"/>
            <w:shd w:val="clear" w:color="auto" w:fill="EBECF9"/>
          </w:tcPr>
          <w:p w14:paraId="17EDD211"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lang w:val="en-US"/>
              </w:rPr>
            </w:pPr>
            <w:r w:rsidRPr="000C5544">
              <w:rPr>
                <w:lang w:val="en-US"/>
              </w:rPr>
              <w:t>(13 647)</w:t>
            </w:r>
          </w:p>
        </w:tc>
        <w:tc>
          <w:tcPr>
            <w:tcW w:w="2014" w:type="dxa"/>
          </w:tcPr>
          <w:p w14:paraId="19A08DA0"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lang w:val="en-US"/>
              </w:rPr>
            </w:pPr>
            <w:r w:rsidRPr="000C5544">
              <w:rPr>
                <w:lang w:val="en-US"/>
              </w:rPr>
              <w:t>(7 649)</w:t>
            </w:r>
          </w:p>
        </w:tc>
      </w:tr>
      <w:tr w:rsidR="00D5409E" w:rsidRPr="000C5544" w14:paraId="6FBFE2A6" w14:textId="77777777" w:rsidTr="002D5763">
        <w:tc>
          <w:tcPr>
            <w:cnfStyle w:val="001000000000" w:firstRow="0" w:lastRow="0" w:firstColumn="1" w:lastColumn="0" w:oddVBand="0" w:evenVBand="0" w:oddHBand="0" w:evenHBand="0" w:firstRowFirstColumn="0" w:firstRowLastColumn="0" w:lastRowFirstColumn="0" w:lastRowLastColumn="0"/>
            <w:tcW w:w="5778" w:type="dxa"/>
          </w:tcPr>
          <w:p w14:paraId="45ADD833" w14:textId="77777777" w:rsidR="00D5409E" w:rsidRPr="000C5544" w:rsidRDefault="000D357B" w:rsidP="002D5763">
            <w:pPr>
              <w:pStyle w:val="Sansinterligne"/>
              <w:spacing w:line="276" w:lineRule="auto"/>
              <w:jc w:val="both"/>
              <w:rPr>
                <w:b w:val="0"/>
                <w:lang w:val="en-US"/>
              </w:rPr>
            </w:pPr>
            <w:r>
              <w:rPr>
                <w:b w:val="0"/>
                <w:lang w:val="en-US"/>
              </w:rPr>
              <w:t>S</w:t>
            </w:r>
            <w:r w:rsidR="00D5409E" w:rsidRPr="000C5544">
              <w:rPr>
                <w:b w:val="0"/>
                <w:lang w:val="en-US"/>
              </w:rPr>
              <w:t>G&amp;A expenses</w:t>
            </w:r>
          </w:p>
        </w:tc>
        <w:tc>
          <w:tcPr>
            <w:tcW w:w="2127" w:type="dxa"/>
            <w:shd w:val="clear" w:color="auto" w:fill="EBECF9"/>
          </w:tcPr>
          <w:p w14:paraId="394BFE9C"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lang w:val="en-US"/>
              </w:rPr>
            </w:pPr>
            <w:r w:rsidRPr="000C5544">
              <w:rPr>
                <w:lang w:val="en-US"/>
              </w:rPr>
              <w:t>(4 177)</w:t>
            </w:r>
          </w:p>
        </w:tc>
        <w:tc>
          <w:tcPr>
            <w:tcW w:w="2014" w:type="dxa"/>
          </w:tcPr>
          <w:p w14:paraId="33737798"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lang w:val="en-US"/>
              </w:rPr>
            </w:pPr>
            <w:r w:rsidRPr="000C5544">
              <w:rPr>
                <w:lang w:val="en-US"/>
              </w:rPr>
              <w:t>(3 613)</w:t>
            </w:r>
          </w:p>
        </w:tc>
      </w:tr>
      <w:tr w:rsidR="00D5409E" w:rsidRPr="000C5544" w14:paraId="22B7DC33" w14:textId="77777777" w:rsidTr="002D5763">
        <w:tc>
          <w:tcPr>
            <w:cnfStyle w:val="001000000000" w:firstRow="0" w:lastRow="0" w:firstColumn="1" w:lastColumn="0" w:oddVBand="0" w:evenVBand="0" w:oddHBand="0" w:evenHBand="0" w:firstRowFirstColumn="0" w:firstRowLastColumn="0" w:lastRowFirstColumn="0" w:lastRowLastColumn="0"/>
            <w:tcW w:w="5778" w:type="dxa"/>
          </w:tcPr>
          <w:p w14:paraId="2F66F1BE" w14:textId="77777777" w:rsidR="00D5409E" w:rsidRPr="000C5544" w:rsidRDefault="00D5409E" w:rsidP="002D5763">
            <w:pPr>
              <w:pStyle w:val="Sansinterligne"/>
              <w:spacing w:line="276" w:lineRule="auto"/>
              <w:jc w:val="both"/>
              <w:rPr>
                <w:lang w:val="en-US"/>
              </w:rPr>
            </w:pPr>
            <w:r w:rsidRPr="000C5544">
              <w:rPr>
                <w:lang w:val="en-US"/>
              </w:rPr>
              <w:t>Operating Income</w:t>
            </w:r>
          </w:p>
        </w:tc>
        <w:tc>
          <w:tcPr>
            <w:tcW w:w="2127" w:type="dxa"/>
            <w:shd w:val="clear" w:color="auto" w:fill="EBECF9"/>
          </w:tcPr>
          <w:p w14:paraId="1B54CE2F"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(13 389)</w:t>
            </w:r>
          </w:p>
        </w:tc>
        <w:tc>
          <w:tcPr>
            <w:tcW w:w="2014" w:type="dxa"/>
            <w:shd w:val="clear" w:color="auto" w:fill="auto"/>
          </w:tcPr>
          <w:p w14:paraId="1F76917B"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(8 631)</w:t>
            </w:r>
          </w:p>
        </w:tc>
      </w:tr>
      <w:tr w:rsidR="00D5409E" w:rsidRPr="000C5544" w14:paraId="3FB06761" w14:textId="77777777" w:rsidTr="002D5763">
        <w:tc>
          <w:tcPr>
            <w:cnfStyle w:val="001000000000" w:firstRow="0" w:lastRow="0" w:firstColumn="1" w:lastColumn="0" w:oddVBand="0" w:evenVBand="0" w:oddHBand="0" w:evenHBand="0" w:firstRowFirstColumn="0" w:firstRowLastColumn="0" w:lastRowFirstColumn="0" w:lastRowLastColumn="0"/>
            <w:tcW w:w="5778" w:type="dxa"/>
          </w:tcPr>
          <w:p w14:paraId="02875311" w14:textId="77777777" w:rsidR="00D5409E" w:rsidRPr="000C5544" w:rsidRDefault="00D5409E" w:rsidP="002D5763">
            <w:pPr>
              <w:pStyle w:val="Sansinterligne"/>
              <w:spacing w:line="276" w:lineRule="auto"/>
              <w:jc w:val="both"/>
              <w:rPr>
                <w:lang w:val="en-US"/>
              </w:rPr>
            </w:pPr>
            <w:r w:rsidRPr="000C5544">
              <w:rPr>
                <w:lang w:val="en-US"/>
              </w:rPr>
              <w:t>Net Financial Income</w:t>
            </w:r>
            <w:r w:rsidR="002F3F2C">
              <w:rPr>
                <w:lang w:val="en-US"/>
              </w:rPr>
              <w:t xml:space="preserve"> </w:t>
            </w:r>
          </w:p>
        </w:tc>
        <w:tc>
          <w:tcPr>
            <w:tcW w:w="2127" w:type="dxa"/>
            <w:shd w:val="clear" w:color="auto" w:fill="EBECF9"/>
          </w:tcPr>
          <w:p w14:paraId="1C8A720B"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(4 058)</w:t>
            </w:r>
          </w:p>
        </w:tc>
        <w:tc>
          <w:tcPr>
            <w:tcW w:w="2014" w:type="dxa"/>
          </w:tcPr>
          <w:p w14:paraId="0645D2B0"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(2 364)</w:t>
            </w:r>
          </w:p>
        </w:tc>
      </w:tr>
      <w:tr w:rsidR="00D5409E" w:rsidRPr="000C5544" w14:paraId="58BBDC0E" w14:textId="77777777" w:rsidTr="002D5763">
        <w:tc>
          <w:tcPr>
            <w:cnfStyle w:val="001000000000" w:firstRow="0" w:lastRow="0" w:firstColumn="1" w:lastColumn="0" w:oddVBand="0" w:evenVBand="0" w:oddHBand="0" w:evenHBand="0" w:firstRowFirstColumn="0" w:firstRowLastColumn="0" w:lastRowFirstColumn="0" w:lastRowLastColumn="0"/>
            <w:tcW w:w="5778" w:type="dxa"/>
          </w:tcPr>
          <w:p w14:paraId="6D7ACBFA" w14:textId="77777777" w:rsidR="00D5409E" w:rsidRPr="000C5544" w:rsidRDefault="00D5409E" w:rsidP="002D5763">
            <w:pPr>
              <w:pStyle w:val="Sansinterligne"/>
              <w:spacing w:line="276" w:lineRule="auto"/>
              <w:jc w:val="both"/>
              <w:rPr>
                <w:lang w:val="en-US"/>
              </w:rPr>
            </w:pPr>
            <w:r w:rsidRPr="000C5544">
              <w:rPr>
                <w:lang w:val="en-US"/>
              </w:rPr>
              <w:t>Earnings before tax</w:t>
            </w:r>
          </w:p>
        </w:tc>
        <w:tc>
          <w:tcPr>
            <w:tcW w:w="2127" w:type="dxa"/>
            <w:shd w:val="clear" w:color="auto" w:fill="EBECF9"/>
          </w:tcPr>
          <w:p w14:paraId="1AF02A90"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(17 447)</w:t>
            </w:r>
          </w:p>
        </w:tc>
        <w:tc>
          <w:tcPr>
            <w:tcW w:w="2014" w:type="dxa"/>
          </w:tcPr>
          <w:p w14:paraId="0A9D89CB"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(10 994)</w:t>
            </w:r>
          </w:p>
        </w:tc>
      </w:tr>
      <w:tr w:rsidR="00D5409E" w:rsidRPr="000C5544" w14:paraId="53B0DD03" w14:textId="77777777" w:rsidTr="002D5763">
        <w:tc>
          <w:tcPr>
            <w:cnfStyle w:val="001000000000" w:firstRow="0" w:lastRow="0" w:firstColumn="1" w:lastColumn="0" w:oddVBand="0" w:evenVBand="0" w:oddHBand="0" w:evenHBand="0" w:firstRowFirstColumn="0" w:firstRowLastColumn="0" w:lastRowFirstColumn="0" w:lastRowLastColumn="0"/>
            <w:tcW w:w="5778" w:type="dxa"/>
            <w:tcBorders>
              <w:bottom w:val="single" w:sz="12" w:space="0" w:color="323796"/>
            </w:tcBorders>
          </w:tcPr>
          <w:p w14:paraId="39F5DE7A" w14:textId="77777777" w:rsidR="00D5409E" w:rsidRPr="000C5544" w:rsidRDefault="002F3F2C" w:rsidP="002D5763">
            <w:pPr>
              <w:pStyle w:val="Sansinterligne"/>
              <w:spacing w:line="276" w:lineRule="auto"/>
              <w:jc w:val="both"/>
              <w:rPr>
                <w:b w:val="0"/>
                <w:lang w:val="en-US"/>
              </w:rPr>
            </w:pPr>
            <w:r>
              <w:rPr>
                <w:b w:val="0"/>
                <w:lang w:val="en-US"/>
              </w:rPr>
              <w:t>Basic e</w:t>
            </w:r>
            <w:r w:rsidR="00D5409E" w:rsidRPr="000C5544">
              <w:rPr>
                <w:b w:val="0"/>
                <w:lang w:val="en-US"/>
              </w:rPr>
              <w:t>arnings per share (in €)</w:t>
            </w:r>
          </w:p>
        </w:tc>
        <w:tc>
          <w:tcPr>
            <w:tcW w:w="2127" w:type="dxa"/>
            <w:tcBorders>
              <w:bottom w:val="single" w:sz="12" w:space="0" w:color="323796"/>
            </w:tcBorders>
            <w:shd w:val="clear" w:color="auto" w:fill="EBECF9"/>
          </w:tcPr>
          <w:p w14:paraId="2864BC8C"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lang w:val="en-US"/>
              </w:rPr>
            </w:pPr>
            <w:r w:rsidRPr="000C5544">
              <w:rPr>
                <w:lang w:val="en-US"/>
              </w:rPr>
              <w:t>(2,1)</w:t>
            </w:r>
          </w:p>
        </w:tc>
        <w:tc>
          <w:tcPr>
            <w:tcW w:w="2014" w:type="dxa"/>
            <w:tcBorders>
              <w:bottom w:val="single" w:sz="12" w:space="0" w:color="323796"/>
            </w:tcBorders>
          </w:tcPr>
          <w:p w14:paraId="3BA2129D"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lang w:val="en-US"/>
              </w:rPr>
            </w:pPr>
            <w:r w:rsidRPr="000C5544">
              <w:rPr>
                <w:lang w:val="en-US"/>
              </w:rPr>
              <w:t>(1,7)</w:t>
            </w:r>
          </w:p>
        </w:tc>
      </w:tr>
      <w:tr w:rsidR="00D5409E" w:rsidRPr="000C5544" w14:paraId="24088C50" w14:textId="77777777" w:rsidTr="002D5763">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323796"/>
              <w:bottom w:val="nil"/>
            </w:tcBorders>
          </w:tcPr>
          <w:p w14:paraId="431B9CF9" w14:textId="77777777" w:rsidR="00D5409E" w:rsidRPr="000C5544" w:rsidRDefault="002F3F2C" w:rsidP="002D5763">
            <w:pPr>
              <w:pStyle w:val="Sansinterligne"/>
              <w:spacing w:line="276" w:lineRule="auto"/>
              <w:jc w:val="both"/>
              <w:rPr>
                <w:lang w:val="en-US"/>
              </w:rPr>
            </w:pPr>
            <w:r>
              <w:rPr>
                <w:lang w:val="en-US"/>
              </w:rPr>
              <w:t xml:space="preserve">Net cash flows </w:t>
            </w:r>
            <w:r w:rsidRPr="002F3F2C">
              <w:rPr>
                <w:lang w:val="en-US"/>
              </w:rPr>
              <w:t>used in operating activities</w:t>
            </w:r>
          </w:p>
        </w:tc>
        <w:tc>
          <w:tcPr>
            <w:tcW w:w="2127" w:type="dxa"/>
            <w:tcBorders>
              <w:top w:val="single" w:sz="12" w:space="0" w:color="323796"/>
              <w:bottom w:val="nil"/>
            </w:tcBorders>
            <w:shd w:val="clear" w:color="auto" w:fill="EBECF9"/>
          </w:tcPr>
          <w:p w14:paraId="1561D0FB"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(12 553)</w:t>
            </w:r>
          </w:p>
        </w:tc>
        <w:tc>
          <w:tcPr>
            <w:tcW w:w="2014" w:type="dxa"/>
            <w:tcBorders>
              <w:top w:val="single" w:sz="12" w:space="0" w:color="323796"/>
              <w:bottom w:val="nil"/>
            </w:tcBorders>
          </w:tcPr>
          <w:p w14:paraId="649ADC76"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(9 173)</w:t>
            </w:r>
          </w:p>
        </w:tc>
      </w:tr>
      <w:tr w:rsidR="00D5409E" w:rsidRPr="000C5544" w14:paraId="03396AB4" w14:textId="77777777" w:rsidTr="002D5763">
        <w:tc>
          <w:tcPr>
            <w:cnfStyle w:val="001000000000" w:firstRow="0" w:lastRow="0" w:firstColumn="1" w:lastColumn="0" w:oddVBand="0" w:evenVBand="0" w:oddHBand="0" w:evenHBand="0" w:firstRowFirstColumn="0" w:firstRowLastColumn="0" w:lastRowFirstColumn="0" w:lastRowLastColumn="0"/>
            <w:tcW w:w="5778" w:type="dxa"/>
            <w:tcBorders>
              <w:bottom w:val="nil"/>
            </w:tcBorders>
          </w:tcPr>
          <w:p w14:paraId="76FB8CAF" w14:textId="77777777" w:rsidR="00D5409E" w:rsidRPr="000C5544" w:rsidRDefault="002F3F2C" w:rsidP="002D5763">
            <w:pPr>
              <w:pStyle w:val="Sansinterligne"/>
              <w:spacing w:line="276" w:lineRule="auto"/>
              <w:jc w:val="both"/>
              <w:rPr>
                <w:lang w:val="en-US"/>
              </w:rPr>
            </w:pPr>
            <w:r>
              <w:rPr>
                <w:lang w:val="en-US"/>
              </w:rPr>
              <w:t>Net cash flows used in</w:t>
            </w:r>
            <w:r w:rsidR="00D5409E" w:rsidRPr="000C5544">
              <w:rPr>
                <w:lang w:val="en-US"/>
              </w:rPr>
              <w:t xml:space="preserve"> financing activities</w:t>
            </w:r>
          </w:p>
        </w:tc>
        <w:tc>
          <w:tcPr>
            <w:tcW w:w="2127" w:type="dxa"/>
            <w:tcBorders>
              <w:bottom w:val="nil"/>
            </w:tcBorders>
            <w:shd w:val="clear" w:color="auto" w:fill="EBECF9"/>
          </w:tcPr>
          <w:p w14:paraId="2B511B8C"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26 902</w:t>
            </w:r>
          </w:p>
        </w:tc>
        <w:tc>
          <w:tcPr>
            <w:tcW w:w="2014" w:type="dxa"/>
            <w:tcBorders>
              <w:bottom w:val="nil"/>
            </w:tcBorders>
          </w:tcPr>
          <w:p w14:paraId="619A9B01"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5 257</w:t>
            </w:r>
          </w:p>
        </w:tc>
      </w:tr>
      <w:tr w:rsidR="00D5409E" w:rsidRPr="000C5544" w14:paraId="35831CDF" w14:textId="77777777" w:rsidTr="002D5763">
        <w:tc>
          <w:tcPr>
            <w:cnfStyle w:val="001000000000" w:firstRow="0" w:lastRow="0" w:firstColumn="1" w:lastColumn="0" w:oddVBand="0" w:evenVBand="0" w:oddHBand="0" w:evenHBand="0" w:firstRowFirstColumn="0" w:firstRowLastColumn="0" w:lastRowFirstColumn="0" w:lastRowLastColumn="0"/>
            <w:tcW w:w="5778" w:type="dxa"/>
            <w:tcBorders>
              <w:bottom w:val="nil"/>
            </w:tcBorders>
          </w:tcPr>
          <w:p w14:paraId="4CBF4019" w14:textId="77777777" w:rsidR="00D5409E" w:rsidRPr="000C5544" w:rsidRDefault="00D5409E" w:rsidP="002D5763">
            <w:pPr>
              <w:pStyle w:val="Sansinterligne"/>
              <w:spacing w:line="276" w:lineRule="auto"/>
              <w:jc w:val="both"/>
              <w:rPr>
                <w:lang w:val="en-US"/>
              </w:rPr>
            </w:pPr>
            <w:r w:rsidRPr="000C5544">
              <w:rPr>
                <w:lang w:val="en-US"/>
              </w:rPr>
              <w:t>Net cash movement</w:t>
            </w:r>
          </w:p>
        </w:tc>
        <w:tc>
          <w:tcPr>
            <w:tcW w:w="2127" w:type="dxa"/>
            <w:tcBorders>
              <w:bottom w:val="nil"/>
            </w:tcBorders>
            <w:shd w:val="clear" w:color="auto" w:fill="EBECF9"/>
          </w:tcPr>
          <w:p w14:paraId="600AEE93"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13 581</w:t>
            </w:r>
          </w:p>
        </w:tc>
        <w:tc>
          <w:tcPr>
            <w:tcW w:w="2014" w:type="dxa"/>
            <w:tcBorders>
              <w:bottom w:val="nil"/>
            </w:tcBorders>
          </w:tcPr>
          <w:p w14:paraId="1E6F7909"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(4 148)</w:t>
            </w:r>
          </w:p>
        </w:tc>
      </w:tr>
      <w:tr w:rsidR="00D5409E" w:rsidRPr="000C5544" w14:paraId="64CD3733" w14:textId="77777777" w:rsidTr="002D5763">
        <w:tc>
          <w:tcPr>
            <w:cnfStyle w:val="001000000000" w:firstRow="0" w:lastRow="0" w:firstColumn="1" w:lastColumn="0" w:oddVBand="0" w:evenVBand="0" w:oddHBand="0" w:evenHBand="0" w:firstRowFirstColumn="0" w:firstRowLastColumn="0" w:lastRowFirstColumn="0" w:lastRowLastColumn="0"/>
            <w:tcW w:w="5778" w:type="dxa"/>
            <w:tcBorders>
              <w:bottom w:val="single" w:sz="18" w:space="0" w:color="323796"/>
            </w:tcBorders>
          </w:tcPr>
          <w:p w14:paraId="01F75F3F" w14:textId="77777777" w:rsidR="00D5409E" w:rsidRPr="000C5544" w:rsidRDefault="00D5409E" w:rsidP="002D5763">
            <w:pPr>
              <w:pStyle w:val="Sansinterligne"/>
              <w:spacing w:line="276" w:lineRule="auto"/>
              <w:jc w:val="both"/>
              <w:rPr>
                <w:lang w:val="en-US"/>
              </w:rPr>
            </w:pPr>
            <w:r w:rsidRPr="000C5544">
              <w:rPr>
                <w:lang w:val="en-US"/>
              </w:rPr>
              <w:t>Cash</w:t>
            </w:r>
            <w:r w:rsidR="002F3F2C">
              <w:rPr>
                <w:lang w:val="en-US"/>
              </w:rPr>
              <w:t xml:space="preserve"> and cash equivalents</w:t>
            </w:r>
            <w:r w:rsidRPr="000C5544">
              <w:rPr>
                <w:lang w:val="en-US"/>
              </w:rPr>
              <w:t xml:space="preserve"> at the end of the period</w:t>
            </w:r>
          </w:p>
        </w:tc>
        <w:tc>
          <w:tcPr>
            <w:tcW w:w="2127" w:type="dxa"/>
            <w:tcBorders>
              <w:bottom w:val="single" w:sz="18" w:space="0" w:color="323796"/>
            </w:tcBorders>
            <w:shd w:val="clear" w:color="auto" w:fill="EBECF9"/>
          </w:tcPr>
          <w:p w14:paraId="0A0DAB43"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16 670</w:t>
            </w:r>
          </w:p>
        </w:tc>
        <w:tc>
          <w:tcPr>
            <w:tcW w:w="2014" w:type="dxa"/>
            <w:tcBorders>
              <w:bottom w:val="single" w:sz="18" w:space="0" w:color="323796"/>
            </w:tcBorders>
          </w:tcPr>
          <w:p w14:paraId="496FE5BC" w14:textId="77777777" w:rsidR="00D5409E" w:rsidRPr="000C5544" w:rsidRDefault="00D5409E" w:rsidP="002D5763">
            <w:pPr>
              <w:pStyle w:val="Sansinterligne"/>
              <w:spacing w:line="276" w:lineRule="auto"/>
              <w:jc w:val="right"/>
              <w:cnfStyle w:val="000000000000" w:firstRow="0" w:lastRow="0" w:firstColumn="0" w:lastColumn="0" w:oddVBand="0" w:evenVBand="0" w:oddHBand="0" w:evenHBand="0" w:firstRowFirstColumn="0" w:firstRowLastColumn="0" w:lastRowFirstColumn="0" w:lastRowLastColumn="0"/>
              <w:rPr>
                <w:b/>
                <w:lang w:val="en-US"/>
              </w:rPr>
            </w:pPr>
            <w:r w:rsidRPr="000C5544">
              <w:rPr>
                <w:b/>
                <w:lang w:val="en-US"/>
              </w:rPr>
              <w:t>3 089</w:t>
            </w:r>
          </w:p>
        </w:tc>
      </w:tr>
    </w:tbl>
    <w:p w14:paraId="2FCB8F3F" w14:textId="77777777" w:rsidR="00FF1FC0" w:rsidRDefault="00FF1FC0" w:rsidP="001F6000">
      <w:pPr>
        <w:pStyle w:val="NormalText"/>
        <w:spacing w:line="276" w:lineRule="auto"/>
        <w:rPr>
          <w:rFonts w:asciiTheme="majorHAnsi" w:eastAsia="Calibri" w:hAnsiTheme="majorHAnsi" w:cstheme="minorHAnsi"/>
          <w:b/>
          <w:bCs/>
          <w:color w:val="323796"/>
          <w:sz w:val="22"/>
          <w:szCs w:val="22"/>
        </w:rPr>
      </w:pPr>
    </w:p>
    <w:p w14:paraId="2F43370F" w14:textId="4FF47745" w:rsidR="004E1B30" w:rsidRPr="0079611C" w:rsidRDefault="004E1B30" w:rsidP="00FB2D61">
      <w:pPr>
        <w:pStyle w:val="NormalText"/>
        <w:spacing w:line="276" w:lineRule="auto"/>
        <w:jc w:val="both"/>
        <w:rPr>
          <w:rFonts w:asciiTheme="minorHAnsi" w:eastAsia="Calibri" w:hAnsiTheme="minorHAnsi" w:cstheme="minorHAnsi"/>
          <w:color w:val="000000"/>
          <w:sz w:val="22"/>
          <w:szCs w:val="22"/>
        </w:rPr>
      </w:pPr>
      <w:r w:rsidRPr="0079611C">
        <w:rPr>
          <w:rFonts w:asciiTheme="minorHAnsi" w:eastAsia="Calibri" w:hAnsiTheme="minorHAnsi" w:cstheme="minorHAnsi"/>
          <w:bCs/>
          <w:color w:val="323796"/>
          <w:sz w:val="22"/>
          <w:szCs w:val="22"/>
        </w:rPr>
        <w:t xml:space="preserve">Operating </w:t>
      </w:r>
      <w:r w:rsidR="00206EF9">
        <w:rPr>
          <w:rFonts w:asciiTheme="minorHAnsi" w:eastAsia="Calibri" w:hAnsiTheme="minorHAnsi" w:cstheme="minorHAnsi"/>
          <w:bCs/>
          <w:color w:val="323796"/>
          <w:sz w:val="22"/>
          <w:szCs w:val="22"/>
        </w:rPr>
        <w:t>revenue</w:t>
      </w:r>
      <w:r w:rsidR="00382D26">
        <w:rPr>
          <w:rFonts w:asciiTheme="minorHAnsi" w:eastAsia="Calibri" w:hAnsiTheme="minorHAnsi" w:cstheme="minorHAnsi"/>
          <w:bCs/>
          <w:color w:val="323796"/>
          <w:sz w:val="22"/>
          <w:szCs w:val="22"/>
        </w:rPr>
        <w:t>s</w:t>
      </w:r>
      <w:r w:rsidRPr="0079611C">
        <w:rPr>
          <w:rFonts w:asciiTheme="minorHAnsi" w:eastAsia="Calibri" w:hAnsiTheme="minorHAnsi" w:cstheme="minorHAnsi"/>
          <w:bCs/>
          <w:color w:val="323796"/>
          <w:sz w:val="22"/>
          <w:szCs w:val="22"/>
        </w:rPr>
        <w:t xml:space="preserve"> </w:t>
      </w:r>
      <w:r w:rsidRPr="0079611C">
        <w:rPr>
          <w:rFonts w:asciiTheme="minorHAnsi" w:eastAsia="Calibri" w:hAnsiTheme="minorHAnsi" w:cstheme="minorHAnsi"/>
          <w:color w:val="000000"/>
          <w:sz w:val="22"/>
          <w:szCs w:val="22"/>
        </w:rPr>
        <w:t xml:space="preserve">for the full year of 2016 was mainly generated by the Company’s research tax credit (3,8m€ for </w:t>
      </w:r>
      <w:r w:rsidR="001D4DD5">
        <w:rPr>
          <w:rFonts w:asciiTheme="minorHAnsi" w:eastAsia="Calibri" w:hAnsiTheme="minorHAnsi" w:cstheme="minorHAnsi"/>
          <w:color w:val="000000"/>
          <w:sz w:val="22"/>
          <w:szCs w:val="22"/>
        </w:rPr>
        <w:t xml:space="preserve">the </w:t>
      </w:r>
      <w:r w:rsidRPr="0079611C">
        <w:rPr>
          <w:rFonts w:asciiTheme="minorHAnsi" w:eastAsia="Calibri" w:hAnsiTheme="minorHAnsi" w:cstheme="minorHAnsi"/>
          <w:color w:val="000000"/>
          <w:sz w:val="22"/>
          <w:szCs w:val="22"/>
        </w:rPr>
        <w:t>2016</w:t>
      </w:r>
      <w:r w:rsidR="001D4DD5">
        <w:rPr>
          <w:rFonts w:asciiTheme="minorHAnsi" w:eastAsia="Calibri" w:hAnsiTheme="minorHAnsi" w:cstheme="minorHAnsi"/>
          <w:color w:val="000000"/>
          <w:sz w:val="22"/>
          <w:szCs w:val="22"/>
        </w:rPr>
        <w:t xml:space="preserve"> </w:t>
      </w:r>
      <w:r w:rsidR="00CD367C">
        <w:rPr>
          <w:rFonts w:asciiTheme="minorHAnsi" w:eastAsia="Calibri" w:hAnsiTheme="minorHAnsi" w:cstheme="minorHAnsi"/>
          <w:color w:val="000000"/>
          <w:sz w:val="22"/>
          <w:szCs w:val="22"/>
        </w:rPr>
        <w:t>period</w:t>
      </w:r>
      <w:r w:rsidR="00CD367C" w:rsidRPr="0079611C">
        <w:rPr>
          <w:rFonts w:asciiTheme="minorHAnsi" w:eastAsia="Calibri" w:hAnsiTheme="minorHAnsi" w:cstheme="minorHAnsi"/>
          <w:color w:val="000000"/>
          <w:sz w:val="22"/>
          <w:szCs w:val="22"/>
        </w:rPr>
        <w:t>) and</w:t>
      </w:r>
      <w:r w:rsidRPr="0079611C">
        <w:rPr>
          <w:rFonts w:asciiTheme="minorHAnsi" w:eastAsia="Calibri" w:hAnsiTheme="minorHAnsi" w:cstheme="minorHAnsi"/>
          <w:color w:val="000000"/>
          <w:sz w:val="22"/>
          <w:szCs w:val="22"/>
        </w:rPr>
        <w:t xml:space="preserve"> subsidies.</w:t>
      </w:r>
    </w:p>
    <w:p w14:paraId="40A405C1" w14:textId="77777777" w:rsidR="004E1B30" w:rsidRPr="0079611C" w:rsidRDefault="004E1B30" w:rsidP="00FB2D61">
      <w:pPr>
        <w:pStyle w:val="NormalText"/>
        <w:spacing w:line="276" w:lineRule="auto"/>
        <w:jc w:val="both"/>
        <w:rPr>
          <w:rFonts w:asciiTheme="minorHAnsi" w:eastAsia="Calibri" w:hAnsiTheme="minorHAnsi" w:cstheme="minorHAnsi"/>
          <w:color w:val="000000"/>
          <w:sz w:val="22"/>
          <w:szCs w:val="22"/>
        </w:rPr>
      </w:pPr>
      <w:r w:rsidRPr="0079611C">
        <w:rPr>
          <w:rFonts w:asciiTheme="minorHAnsi" w:eastAsia="Calibri" w:hAnsiTheme="minorHAnsi" w:cstheme="minorHAnsi"/>
          <w:color w:val="000000"/>
          <w:sz w:val="22"/>
          <w:szCs w:val="22"/>
        </w:rPr>
        <w:t xml:space="preserve">The increase in </w:t>
      </w:r>
      <w:r w:rsidRPr="0079611C">
        <w:rPr>
          <w:rFonts w:asciiTheme="minorHAnsi" w:eastAsia="Calibri" w:hAnsiTheme="minorHAnsi" w:cstheme="minorHAnsi"/>
          <w:bCs/>
          <w:color w:val="323796"/>
          <w:sz w:val="22"/>
          <w:szCs w:val="22"/>
        </w:rPr>
        <w:t>Research and development expenses</w:t>
      </w:r>
      <w:r w:rsidR="006965E3" w:rsidRPr="0079611C">
        <w:rPr>
          <w:rFonts w:asciiTheme="minorHAnsi" w:eastAsia="Calibri" w:hAnsiTheme="minorHAnsi" w:cstheme="minorHAnsi"/>
          <w:b/>
          <w:bCs/>
          <w:color w:val="323796"/>
          <w:sz w:val="22"/>
          <w:szCs w:val="22"/>
        </w:rPr>
        <w:t xml:space="preserve"> </w:t>
      </w:r>
      <w:r w:rsidRPr="0079611C">
        <w:rPr>
          <w:rFonts w:asciiTheme="minorHAnsi" w:eastAsia="Calibri" w:hAnsiTheme="minorHAnsi" w:cstheme="minorHAnsi"/>
          <w:color w:val="000000"/>
          <w:sz w:val="22"/>
          <w:szCs w:val="22"/>
        </w:rPr>
        <w:t>i</w:t>
      </w:r>
      <w:r w:rsidR="006965E3" w:rsidRPr="0079611C">
        <w:rPr>
          <w:rFonts w:asciiTheme="minorHAnsi" w:eastAsia="Calibri" w:hAnsiTheme="minorHAnsi" w:cstheme="minorHAnsi"/>
          <w:color w:val="000000"/>
          <w:sz w:val="22"/>
          <w:szCs w:val="22"/>
        </w:rPr>
        <w:t xml:space="preserve">s directly linked to the deployment of </w:t>
      </w:r>
      <w:r w:rsidR="00036160">
        <w:rPr>
          <w:rFonts w:asciiTheme="minorHAnsi" w:eastAsia="Calibri" w:hAnsiTheme="minorHAnsi" w:cstheme="minorHAnsi"/>
          <w:color w:val="000000"/>
          <w:sz w:val="22"/>
          <w:szCs w:val="22"/>
        </w:rPr>
        <w:t xml:space="preserve">the </w:t>
      </w:r>
      <w:r w:rsidR="006965E3" w:rsidRPr="0079611C">
        <w:rPr>
          <w:rFonts w:asciiTheme="minorHAnsi" w:eastAsia="Calibri" w:hAnsiTheme="minorHAnsi" w:cstheme="minorHAnsi"/>
          <w:color w:val="000000"/>
          <w:sz w:val="22"/>
          <w:szCs w:val="22"/>
        </w:rPr>
        <w:t>PXT3003 Phase 3 clinical trial.</w:t>
      </w:r>
      <w:r w:rsidR="006965E3" w:rsidRPr="0079611C">
        <w:rPr>
          <w:rFonts w:asciiTheme="minorHAnsi" w:eastAsia="Calibri" w:hAnsiTheme="minorHAnsi" w:cstheme="minorHAnsi"/>
          <w:color w:val="000000"/>
          <w:sz w:val="22"/>
          <w:szCs w:val="22"/>
        </w:rPr>
        <w:cr/>
      </w:r>
      <w:r w:rsidR="006965E3" w:rsidRPr="0079611C">
        <w:rPr>
          <w:rFonts w:asciiTheme="minorHAnsi" w:eastAsia="Calibri" w:hAnsiTheme="minorHAnsi" w:cstheme="minorHAnsi"/>
          <w:bCs/>
          <w:color w:val="323796"/>
          <w:sz w:val="22"/>
          <w:szCs w:val="22"/>
        </w:rPr>
        <w:t xml:space="preserve">The Financial </w:t>
      </w:r>
      <w:r w:rsidR="00206EF9">
        <w:rPr>
          <w:rFonts w:asciiTheme="minorHAnsi" w:eastAsia="Calibri" w:hAnsiTheme="minorHAnsi" w:cstheme="minorHAnsi"/>
          <w:bCs/>
          <w:color w:val="323796"/>
          <w:sz w:val="22"/>
          <w:szCs w:val="22"/>
        </w:rPr>
        <w:t>income</w:t>
      </w:r>
      <w:r w:rsidR="006965E3" w:rsidRPr="0079611C">
        <w:rPr>
          <w:rFonts w:asciiTheme="minorHAnsi" w:eastAsia="Calibri" w:hAnsiTheme="minorHAnsi" w:cstheme="minorHAnsi"/>
          <w:color w:val="000000"/>
          <w:sz w:val="22"/>
          <w:szCs w:val="22"/>
        </w:rPr>
        <w:t xml:space="preserve"> is affected, in 2016, by </w:t>
      </w:r>
      <w:r w:rsidR="00CD367C" w:rsidRPr="0079611C">
        <w:rPr>
          <w:rFonts w:asciiTheme="minorHAnsi" w:eastAsia="Calibri" w:hAnsiTheme="minorHAnsi" w:cstheme="minorHAnsi"/>
          <w:color w:val="000000"/>
          <w:sz w:val="22"/>
          <w:szCs w:val="22"/>
        </w:rPr>
        <w:t>considering</w:t>
      </w:r>
      <w:r w:rsidR="006965E3" w:rsidRPr="0079611C">
        <w:rPr>
          <w:rFonts w:asciiTheme="minorHAnsi" w:eastAsia="Calibri" w:hAnsiTheme="minorHAnsi" w:cstheme="minorHAnsi"/>
          <w:color w:val="000000"/>
          <w:sz w:val="22"/>
          <w:szCs w:val="22"/>
        </w:rPr>
        <w:t>, at the level of financial costs, conversion premiums of convertible bond, subscribed in 2014.</w:t>
      </w:r>
    </w:p>
    <w:p w14:paraId="6F7D85A4" w14:textId="3B2EA535" w:rsidR="006965E3" w:rsidRPr="0079611C" w:rsidRDefault="006965E3" w:rsidP="00FB2D61">
      <w:pPr>
        <w:pStyle w:val="NormalText"/>
        <w:spacing w:line="276" w:lineRule="auto"/>
        <w:jc w:val="both"/>
        <w:rPr>
          <w:rFonts w:asciiTheme="minorHAnsi" w:eastAsia="Calibri" w:hAnsiTheme="minorHAnsi" w:cstheme="minorHAnsi"/>
          <w:color w:val="000000"/>
          <w:sz w:val="22"/>
          <w:szCs w:val="22"/>
        </w:rPr>
      </w:pPr>
      <w:r w:rsidRPr="003758B4">
        <w:rPr>
          <w:rFonts w:asciiTheme="minorHAnsi" w:eastAsia="Calibri" w:hAnsiTheme="minorHAnsi" w:cstheme="minorHAnsi"/>
          <w:bCs/>
          <w:color w:val="323796"/>
          <w:sz w:val="22"/>
          <w:szCs w:val="22"/>
        </w:rPr>
        <w:t>Net cash flows used in operating activities</w:t>
      </w:r>
      <w:r w:rsidRPr="0079611C">
        <w:rPr>
          <w:rFonts w:asciiTheme="minorHAnsi" w:eastAsia="Calibri" w:hAnsiTheme="minorHAnsi" w:cstheme="minorHAnsi"/>
          <w:color w:val="000000"/>
          <w:sz w:val="22"/>
          <w:szCs w:val="22"/>
        </w:rPr>
        <w:t xml:space="preserve"> were 12,</w:t>
      </w:r>
      <w:r w:rsidR="00871C62">
        <w:rPr>
          <w:rFonts w:asciiTheme="minorHAnsi" w:eastAsia="Calibri" w:hAnsiTheme="minorHAnsi" w:cstheme="minorHAnsi"/>
          <w:color w:val="000000"/>
          <w:sz w:val="22"/>
          <w:szCs w:val="22"/>
        </w:rPr>
        <w:t>6</w:t>
      </w:r>
      <w:r w:rsidRPr="0079611C">
        <w:rPr>
          <w:rFonts w:asciiTheme="minorHAnsi" w:eastAsia="Calibri" w:hAnsiTheme="minorHAnsi" w:cstheme="minorHAnsi"/>
          <w:color w:val="000000"/>
          <w:sz w:val="22"/>
          <w:szCs w:val="22"/>
        </w:rPr>
        <w:t xml:space="preserve">m€ in </w:t>
      </w:r>
      <w:r w:rsidR="00CD367C" w:rsidRPr="0079611C">
        <w:rPr>
          <w:rFonts w:asciiTheme="minorHAnsi" w:eastAsia="Calibri" w:hAnsiTheme="minorHAnsi" w:cstheme="minorHAnsi"/>
          <w:color w:val="000000"/>
          <w:sz w:val="22"/>
          <w:szCs w:val="22"/>
        </w:rPr>
        <w:t>2016:</w:t>
      </w:r>
      <w:r w:rsidRPr="0079611C">
        <w:rPr>
          <w:rFonts w:asciiTheme="minorHAnsi" w:eastAsia="Calibri" w:hAnsiTheme="minorHAnsi" w:cstheme="minorHAnsi"/>
          <w:color w:val="000000"/>
          <w:sz w:val="22"/>
          <w:szCs w:val="22"/>
        </w:rPr>
        <w:t xml:space="preserve"> the increase compared to </w:t>
      </w:r>
      <w:r w:rsidR="0079611C" w:rsidRPr="0079611C">
        <w:rPr>
          <w:rFonts w:asciiTheme="minorHAnsi" w:eastAsia="Calibri" w:hAnsiTheme="minorHAnsi" w:cstheme="minorHAnsi"/>
          <w:color w:val="000000"/>
          <w:sz w:val="22"/>
          <w:szCs w:val="22"/>
        </w:rPr>
        <w:t xml:space="preserve">previous period resulted </w:t>
      </w:r>
      <w:r w:rsidR="00CD367C" w:rsidRPr="0079611C">
        <w:rPr>
          <w:rFonts w:asciiTheme="minorHAnsi" w:eastAsia="Calibri" w:hAnsiTheme="minorHAnsi" w:cstheme="minorHAnsi"/>
          <w:color w:val="000000"/>
          <w:sz w:val="22"/>
          <w:szCs w:val="22"/>
        </w:rPr>
        <w:t>essentially from</w:t>
      </w:r>
      <w:r w:rsidR="0079611C" w:rsidRPr="0079611C">
        <w:rPr>
          <w:rFonts w:asciiTheme="minorHAnsi" w:eastAsia="Calibri" w:hAnsiTheme="minorHAnsi" w:cstheme="minorHAnsi"/>
          <w:color w:val="000000"/>
          <w:sz w:val="22"/>
          <w:szCs w:val="22"/>
        </w:rPr>
        <w:t xml:space="preserve"> Phase 3 deployment.</w:t>
      </w:r>
    </w:p>
    <w:p w14:paraId="3D7CDE30" w14:textId="68A302E2" w:rsidR="0079611C" w:rsidRDefault="00206EF9" w:rsidP="00FB2D61">
      <w:pPr>
        <w:pStyle w:val="NormalText"/>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bCs/>
          <w:color w:val="323796"/>
          <w:sz w:val="22"/>
          <w:szCs w:val="22"/>
        </w:rPr>
        <w:t>Net c</w:t>
      </w:r>
      <w:r w:rsidR="0079611C" w:rsidRPr="0079611C">
        <w:rPr>
          <w:rFonts w:asciiTheme="minorHAnsi" w:eastAsia="Calibri" w:hAnsiTheme="minorHAnsi" w:cstheme="minorHAnsi"/>
          <w:bCs/>
          <w:color w:val="323796"/>
          <w:sz w:val="22"/>
          <w:szCs w:val="22"/>
        </w:rPr>
        <w:t>ash</w:t>
      </w:r>
      <w:r>
        <w:rPr>
          <w:rFonts w:asciiTheme="minorHAnsi" w:eastAsia="Calibri" w:hAnsiTheme="minorHAnsi" w:cstheme="minorHAnsi"/>
          <w:bCs/>
          <w:color w:val="323796"/>
          <w:sz w:val="22"/>
          <w:szCs w:val="22"/>
        </w:rPr>
        <w:t xml:space="preserve"> flows </w:t>
      </w:r>
      <w:r w:rsidR="002F3F2C">
        <w:rPr>
          <w:rFonts w:asciiTheme="minorHAnsi" w:eastAsia="Calibri" w:hAnsiTheme="minorHAnsi" w:cstheme="minorHAnsi"/>
          <w:bCs/>
          <w:color w:val="323796"/>
          <w:sz w:val="22"/>
          <w:szCs w:val="22"/>
        </w:rPr>
        <w:t>used in</w:t>
      </w:r>
      <w:r>
        <w:rPr>
          <w:rFonts w:asciiTheme="minorHAnsi" w:eastAsia="Calibri" w:hAnsiTheme="minorHAnsi" w:cstheme="minorHAnsi"/>
          <w:bCs/>
          <w:color w:val="323796"/>
          <w:sz w:val="22"/>
          <w:szCs w:val="22"/>
        </w:rPr>
        <w:t xml:space="preserve"> financing </w:t>
      </w:r>
      <w:r w:rsidR="0079611C" w:rsidRPr="0079611C">
        <w:rPr>
          <w:rFonts w:asciiTheme="minorHAnsi" w:eastAsia="Calibri" w:hAnsiTheme="minorHAnsi" w:cstheme="minorHAnsi"/>
          <w:bCs/>
          <w:color w:val="323796"/>
          <w:sz w:val="22"/>
          <w:szCs w:val="22"/>
        </w:rPr>
        <w:t xml:space="preserve">activities </w:t>
      </w:r>
      <w:r w:rsidR="0079611C" w:rsidRPr="0079611C">
        <w:rPr>
          <w:rFonts w:asciiTheme="minorHAnsi" w:eastAsia="Calibri" w:hAnsiTheme="minorHAnsi" w:cstheme="minorHAnsi"/>
          <w:color w:val="000000"/>
          <w:sz w:val="22"/>
          <w:szCs w:val="22"/>
        </w:rPr>
        <w:t>consist mainly</w:t>
      </w:r>
      <w:r w:rsidR="0079611C">
        <w:rPr>
          <w:rFonts w:asciiTheme="minorHAnsi" w:eastAsia="Calibri" w:hAnsiTheme="minorHAnsi" w:cstheme="minorHAnsi"/>
          <w:color w:val="000000"/>
          <w:sz w:val="22"/>
          <w:szCs w:val="22"/>
        </w:rPr>
        <w:t>,</w:t>
      </w:r>
      <w:r w:rsidR="0079611C" w:rsidRPr="0079611C">
        <w:rPr>
          <w:rFonts w:asciiTheme="minorHAnsi" w:eastAsia="Calibri" w:hAnsiTheme="minorHAnsi" w:cstheme="minorHAnsi"/>
          <w:color w:val="000000"/>
          <w:sz w:val="22"/>
          <w:szCs w:val="22"/>
        </w:rPr>
        <w:t xml:space="preserve"> in 2015, </w:t>
      </w:r>
      <w:r w:rsidR="0079611C">
        <w:rPr>
          <w:rFonts w:asciiTheme="minorHAnsi" w:eastAsia="Calibri" w:hAnsiTheme="minorHAnsi" w:cstheme="minorHAnsi"/>
          <w:color w:val="000000"/>
          <w:sz w:val="22"/>
          <w:szCs w:val="22"/>
        </w:rPr>
        <w:t xml:space="preserve">of a </w:t>
      </w:r>
      <w:r w:rsidR="0079611C" w:rsidRPr="0079611C">
        <w:rPr>
          <w:rFonts w:asciiTheme="minorHAnsi" w:eastAsia="Calibri" w:hAnsiTheme="minorHAnsi" w:cstheme="minorHAnsi"/>
          <w:color w:val="000000"/>
          <w:sz w:val="22"/>
          <w:szCs w:val="22"/>
        </w:rPr>
        <w:t>5m€</w:t>
      </w:r>
      <w:r w:rsidR="0079611C">
        <w:rPr>
          <w:rFonts w:asciiTheme="minorHAnsi" w:eastAsia="Calibri" w:hAnsiTheme="minorHAnsi" w:cstheme="minorHAnsi"/>
          <w:color w:val="000000"/>
          <w:sz w:val="22"/>
          <w:szCs w:val="22"/>
        </w:rPr>
        <w:t xml:space="preserve"> venture loan</w:t>
      </w:r>
      <w:r w:rsidR="0079611C" w:rsidRPr="0079611C">
        <w:rPr>
          <w:rFonts w:asciiTheme="minorHAnsi" w:eastAsia="Calibri" w:hAnsiTheme="minorHAnsi" w:cstheme="minorHAnsi"/>
          <w:color w:val="000000"/>
          <w:sz w:val="22"/>
          <w:szCs w:val="22"/>
        </w:rPr>
        <w:t xml:space="preserve">, and in 2016, </w:t>
      </w:r>
      <w:r w:rsidR="0079611C">
        <w:rPr>
          <w:rFonts w:asciiTheme="minorHAnsi" w:eastAsia="Calibri" w:hAnsiTheme="minorHAnsi" w:cstheme="minorHAnsi"/>
          <w:color w:val="000000"/>
          <w:sz w:val="22"/>
          <w:szCs w:val="22"/>
        </w:rPr>
        <w:t xml:space="preserve">of </w:t>
      </w:r>
      <w:r w:rsidR="0079611C" w:rsidRPr="0079611C">
        <w:rPr>
          <w:rFonts w:asciiTheme="minorHAnsi" w:eastAsia="Calibri" w:hAnsiTheme="minorHAnsi" w:cstheme="minorHAnsi"/>
          <w:color w:val="000000"/>
          <w:sz w:val="22"/>
          <w:szCs w:val="22"/>
        </w:rPr>
        <w:t>a 2</w:t>
      </w:r>
      <w:r w:rsidR="0079611C" w:rsidRPr="00704AA6">
        <w:rPr>
          <w:rFonts w:asciiTheme="minorHAnsi" w:eastAsia="Calibri" w:hAnsiTheme="minorHAnsi" w:cstheme="minorHAnsi"/>
          <w:color w:val="000000"/>
          <w:sz w:val="22"/>
          <w:szCs w:val="22"/>
          <w:vertAlign w:val="superscript"/>
        </w:rPr>
        <w:t>nd</w:t>
      </w:r>
      <w:r w:rsidR="00704AA6">
        <w:rPr>
          <w:rFonts w:asciiTheme="minorHAnsi" w:eastAsia="Calibri" w:hAnsiTheme="minorHAnsi" w:cstheme="minorHAnsi"/>
          <w:color w:val="000000"/>
          <w:sz w:val="22"/>
          <w:szCs w:val="22"/>
        </w:rPr>
        <w:t xml:space="preserve"> </w:t>
      </w:r>
      <w:r w:rsidR="00FB2D61">
        <w:rPr>
          <w:rFonts w:asciiTheme="minorHAnsi" w:eastAsia="Calibri" w:hAnsiTheme="minorHAnsi" w:cstheme="minorHAnsi"/>
          <w:color w:val="000000"/>
          <w:sz w:val="22"/>
          <w:szCs w:val="22"/>
        </w:rPr>
        <w:t>tranche</w:t>
      </w:r>
      <w:r w:rsidR="0079611C" w:rsidRPr="0079611C">
        <w:rPr>
          <w:rFonts w:asciiTheme="minorHAnsi" w:eastAsia="Calibri" w:hAnsiTheme="minorHAnsi" w:cstheme="minorHAnsi"/>
          <w:color w:val="000000"/>
          <w:sz w:val="22"/>
          <w:szCs w:val="22"/>
        </w:rPr>
        <w:t xml:space="preserve"> of </w:t>
      </w:r>
      <w:r w:rsidR="00FB2D61">
        <w:rPr>
          <w:rFonts w:asciiTheme="minorHAnsi" w:eastAsia="Calibri" w:hAnsiTheme="minorHAnsi" w:cstheme="minorHAnsi"/>
          <w:color w:val="000000"/>
          <w:sz w:val="22"/>
          <w:szCs w:val="22"/>
        </w:rPr>
        <w:t xml:space="preserve">loan of </w:t>
      </w:r>
      <w:r w:rsidR="0079611C" w:rsidRPr="0079611C">
        <w:rPr>
          <w:rFonts w:asciiTheme="minorHAnsi" w:eastAsia="Calibri" w:hAnsiTheme="minorHAnsi" w:cstheme="minorHAnsi"/>
          <w:color w:val="000000"/>
          <w:sz w:val="22"/>
          <w:szCs w:val="22"/>
        </w:rPr>
        <w:t xml:space="preserve">2.5m€, then </w:t>
      </w:r>
      <w:r w:rsidR="0079611C">
        <w:rPr>
          <w:rFonts w:asciiTheme="minorHAnsi" w:eastAsia="Calibri" w:hAnsiTheme="minorHAnsi" w:cstheme="minorHAnsi"/>
          <w:color w:val="000000"/>
          <w:sz w:val="22"/>
          <w:szCs w:val="22"/>
        </w:rPr>
        <w:t xml:space="preserve">of </w:t>
      </w:r>
      <w:r w:rsidR="0079611C" w:rsidRPr="0079611C">
        <w:rPr>
          <w:rFonts w:asciiTheme="minorHAnsi" w:eastAsia="Calibri" w:hAnsiTheme="minorHAnsi" w:cstheme="minorHAnsi"/>
          <w:color w:val="000000"/>
          <w:sz w:val="22"/>
          <w:szCs w:val="22"/>
        </w:rPr>
        <w:t>the net proceeds from the issuance of shares during the IPO (28.2m€)</w:t>
      </w:r>
      <w:r w:rsidR="0079611C">
        <w:rPr>
          <w:rFonts w:asciiTheme="minorHAnsi" w:eastAsia="Calibri" w:hAnsiTheme="minorHAnsi" w:cstheme="minorHAnsi"/>
          <w:color w:val="000000"/>
          <w:sz w:val="22"/>
          <w:szCs w:val="22"/>
        </w:rPr>
        <w:t xml:space="preserve">. In 2016, loan reimbursements and </w:t>
      </w:r>
      <w:r w:rsidR="00704AA6" w:rsidRPr="00704AA6">
        <w:rPr>
          <w:rFonts w:asciiTheme="minorHAnsi" w:eastAsia="Calibri" w:hAnsiTheme="minorHAnsi" w:cstheme="minorHAnsi"/>
          <w:color w:val="000000"/>
          <w:sz w:val="22"/>
          <w:szCs w:val="22"/>
        </w:rPr>
        <w:t xml:space="preserve">payment of </w:t>
      </w:r>
      <w:r w:rsidR="00B95BC6">
        <w:rPr>
          <w:rFonts w:asciiTheme="minorHAnsi" w:eastAsia="Calibri" w:hAnsiTheme="minorHAnsi" w:cstheme="minorHAnsi"/>
          <w:color w:val="000000"/>
          <w:sz w:val="22"/>
          <w:szCs w:val="22"/>
        </w:rPr>
        <w:t>interest charges accounted for 3,5m</w:t>
      </w:r>
      <w:r w:rsidR="00B95BC6" w:rsidRPr="0079611C">
        <w:rPr>
          <w:rFonts w:asciiTheme="minorHAnsi" w:eastAsia="Calibri" w:hAnsiTheme="minorHAnsi" w:cstheme="minorHAnsi"/>
          <w:color w:val="000000"/>
          <w:sz w:val="22"/>
          <w:szCs w:val="22"/>
        </w:rPr>
        <w:t>€</w:t>
      </w:r>
      <w:r w:rsidR="00B95BC6">
        <w:rPr>
          <w:rFonts w:asciiTheme="minorHAnsi" w:eastAsia="Calibri" w:hAnsiTheme="minorHAnsi" w:cstheme="minorHAnsi"/>
          <w:color w:val="000000"/>
          <w:sz w:val="22"/>
          <w:szCs w:val="22"/>
        </w:rPr>
        <w:t>.</w:t>
      </w:r>
    </w:p>
    <w:p w14:paraId="7A64A9C8" w14:textId="77777777" w:rsidR="004E1B30" w:rsidRDefault="004E1B30" w:rsidP="001F6000">
      <w:pPr>
        <w:pStyle w:val="NormalText"/>
        <w:spacing w:line="276" w:lineRule="auto"/>
        <w:rPr>
          <w:rFonts w:asciiTheme="majorHAnsi" w:eastAsia="Calibri" w:hAnsiTheme="majorHAnsi" w:cstheme="minorHAnsi"/>
          <w:b/>
          <w:bCs/>
          <w:color w:val="323796"/>
          <w:sz w:val="22"/>
          <w:szCs w:val="22"/>
        </w:rPr>
      </w:pPr>
    </w:p>
    <w:p w14:paraId="02D24F67" w14:textId="77777777" w:rsidR="00064854" w:rsidRDefault="00036160" w:rsidP="0064668B">
      <w:pPr>
        <w:pStyle w:val="NormalText"/>
        <w:spacing w:after="160" w:line="276" w:lineRule="auto"/>
        <w:jc w:val="both"/>
        <w:rPr>
          <w:rFonts w:asciiTheme="majorHAnsi" w:eastAsia="Calibri" w:hAnsiTheme="majorHAnsi" w:cstheme="minorHAnsi"/>
          <w:b/>
          <w:bCs/>
          <w:color w:val="323796"/>
          <w:sz w:val="22"/>
          <w:szCs w:val="22"/>
        </w:rPr>
      </w:pPr>
      <w:r>
        <w:rPr>
          <w:rFonts w:asciiTheme="majorHAnsi" w:eastAsia="Calibri" w:hAnsiTheme="majorHAnsi" w:cstheme="minorHAnsi"/>
          <w:b/>
          <w:bCs/>
          <w:color w:val="323796"/>
          <w:sz w:val="22"/>
          <w:szCs w:val="22"/>
        </w:rPr>
        <w:t xml:space="preserve">ANTICIPATED </w:t>
      </w:r>
      <w:r w:rsidR="009734CD">
        <w:rPr>
          <w:rFonts w:asciiTheme="majorHAnsi" w:eastAsia="Calibri" w:hAnsiTheme="majorHAnsi" w:cstheme="minorHAnsi"/>
          <w:b/>
          <w:bCs/>
          <w:color w:val="323796"/>
          <w:sz w:val="22"/>
          <w:szCs w:val="22"/>
        </w:rPr>
        <w:t xml:space="preserve">UPCOMING </w:t>
      </w:r>
      <w:r>
        <w:rPr>
          <w:rFonts w:asciiTheme="majorHAnsi" w:eastAsia="Calibri" w:hAnsiTheme="majorHAnsi" w:cstheme="minorHAnsi"/>
          <w:b/>
          <w:bCs/>
          <w:color w:val="323796"/>
          <w:sz w:val="22"/>
          <w:szCs w:val="22"/>
        </w:rPr>
        <w:t>MILESTONES</w:t>
      </w:r>
    </w:p>
    <w:p w14:paraId="593CCBB4" w14:textId="77777777" w:rsidR="00416475" w:rsidRDefault="008C09B1" w:rsidP="005942FC">
      <w:pPr>
        <w:pStyle w:val="Sansinterligne"/>
        <w:spacing w:after="160" w:line="276" w:lineRule="auto"/>
        <w:jc w:val="both"/>
        <w:rPr>
          <w:rFonts w:asciiTheme="minorHAnsi" w:hAnsiTheme="minorHAnsi" w:cstheme="minorHAnsi"/>
        </w:rPr>
      </w:pPr>
      <w:r>
        <w:rPr>
          <w:rFonts w:asciiTheme="minorHAnsi" w:hAnsiTheme="minorHAnsi" w:cstheme="minorHAnsi"/>
        </w:rPr>
        <w:t xml:space="preserve">Over </w:t>
      </w:r>
      <w:r w:rsidR="00B95BC6">
        <w:rPr>
          <w:rFonts w:asciiTheme="minorHAnsi" w:hAnsiTheme="minorHAnsi" w:cstheme="minorHAnsi"/>
        </w:rPr>
        <w:t xml:space="preserve">the current </w:t>
      </w:r>
      <w:r>
        <w:rPr>
          <w:rFonts w:asciiTheme="minorHAnsi" w:hAnsiTheme="minorHAnsi" w:cstheme="minorHAnsi"/>
        </w:rPr>
        <w:t>financial year</w:t>
      </w:r>
      <w:r w:rsidR="00B95BC6">
        <w:rPr>
          <w:rFonts w:asciiTheme="minorHAnsi" w:hAnsiTheme="minorHAnsi" w:cstheme="minorHAnsi"/>
        </w:rPr>
        <w:t xml:space="preserve">, </w:t>
      </w:r>
      <w:r>
        <w:rPr>
          <w:rFonts w:asciiTheme="minorHAnsi" w:hAnsiTheme="minorHAnsi" w:cstheme="minorHAnsi"/>
        </w:rPr>
        <w:t>Pharnext</w:t>
      </w:r>
      <w:r w:rsidR="00B95BC6">
        <w:rPr>
          <w:rFonts w:asciiTheme="minorHAnsi" w:hAnsiTheme="minorHAnsi" w:cstheme="minorHAnsi"/>
        </w:rPr>
        <w:t xml:space="preserve"> is </w:t>
      </w:r>
      <w:r>
        <w:rPr>
          <w:rFonts w:asciiTheme="minorHAnsi" w:hAnsiTheme="minorHAnsi" w:cstheme="minorHAnsi"/>
        </w:rPr>
        <w:t xml:space="preserve">continuing </w:t>
      </w:r>
      <w:r w:rsidR="00B95BC6">
        <w:rPr>
          <w:rFonts w:asciiTheme="minorHAnsi" w:hAnsiTheme="minorHAnsi" w:cstheme="minorHAnsi"/>
        </w:rPr>
        <w:t xml:space="preserve">its </w:t>
      </w:r>
      <w:r>
        <w:rPr>
          <w:rFonts w:asciiTheme="minorHAnsi" w:hAnsiTheme="minorHAnsi" w:cstheme="minorHAnsi"/>
        </w:rPr>
        <w:t xml:space="preserve">Phase </w:t>
      </w:r>
      <w:r w:rsidR="00B95BC6">
        <w:rPr>
          <w:rFonts w:asciiTheme="minorHAnsi" w:hAnsiTheme="minorHAnsi" w:cstheme="minorHAnsi"/>
        </w:rPr>
        <w:t>3 clinical trial for its drug candidate PXT3003 in CMT1A</w:t>
      </w:r>
      <w:r w:rsidR="00E15A46">
        <w:rPr>
          <w:rFonts w:asciiTheme="minorHAnsi" w:hAnsiTheme="minorHAnsi" w:cstheme="minorHAnsi"/>
        </w:rPr>
        <w:t>.</w:t>
      </w:r>
      <w:r w:rsidR="00B95BC6">
        <w:rPr>
          <w:rFonts w:asciiTheme="minorHAnsi" w:hAnsiTheme="minorHAnsi" w:cstheme="minorHAnsi"/>
        </w:rPr>
        <w:t xml:space="preserve"> </w:t>
      </w:r>
      <w:r w:rsidR="00E15A46">
        <w:rPr>
          <w:rFonts w:asciiTheme="minorHAnsi" w:hAnsiTheme="minorHAnsi" w:cstheme="minorHAnsi"/>
        </w:rPr>
        <w:t>T</w:t>
      </w:r>
      <w:r w:rsidR="00B95BC6">
        <w:rPr>
          <w:rFonts w:asciiTheme="minorHAnsi" w:hAnsiTheme="minorHAnsi" w:cstheme="minorHAnsi"/>
        </w:rPr>
        <w:t xml:space="preserve">he last patient </w:t>
      </w:r>
      <w:r w:rsidR="0064668B">
        <w:rPr>
          <w:rFonts w:asciiTheme="minorHAnsi" w:hAnsiTheme="minorHAnsi" w:cstheme="minorHAnsi"/>
        </w:rPr>
        <w:t xml:space="preserve">dosed </w:t>
      </w:r>
      <w:r w:rsidR="00B95BC6">
        <w:rPr>
          <w:rFonts w:asciiTheme="minorHAnsi" w:hAnsiTheme="minorHAnsi" w:cstheme="minorHAnsi"/>
        </w:rPr>
        <w:t xml:space="preserve">is expected to </w:t>
      </w:r>
      <w:r w:rsidR="008B4D81">
        <w:rPr>
          <w:rFonts w:asciiTheme="minorHAnsi" w:hAnsiTheme="minorHAnsi" w:cstheme="minorHAnsi"/>
        </w:rPr>
        <w:t>complete</w:t>
      </w:r>
      <w:r w:rsidR="00B95BC6">
        <w:rPr>
          <w:rFonts w:asciiTheme="minorHAnsi" w:hAnsiTheme="minorHAnsi" w:cstheme="minorHAnsi"/>
        </w:rPr>
        <w:t xml:space="preserve"> </w:t>
      </w:r>
      <w:r w:rsidR="00B6086D">
        <w:rPr>
          <w:rFonts w:asciiTheme="minorHAnsi" w:hAnsiTheme="minorHAnsi" w:cstheme="minorHAnsi"/>
        </w:rPr>
        <w:t xml:space="preserve">this </w:t>
      </w:r>
      <w:r w:rsidR="00B95BC6">
        <w:rPr>
          <w:rFonts w:asciiTheme="minorHAnsi" w:hAnsiTheme="minorHAnsi" w:cstheme="minorHAnsi"/>
        </w:rPr>
        <w:t>15</w:t>
      </w:r>
      <w:r w:rsidR="008B4D81">
        <w:rPr>
          <w:rFonts w:asciiTheme="minorHAnsi" w:hAnsiTheme="minorHAnsi" w:cstheme="minorHAnsi"/>
        </w:rPr>
        <w:t>-</w:t>
      </w:r>
      <w:r w:rsidR="00B95BC6">
        <w:rPr>
          <w:rFonts w:asciiTheme="minorHAnsi" w:hAnsiTheme="minorHAnsi" w:cstheme="minorHAnsi"/>
        </w:rPr>
        <w:t xml:space="preserve">month pivotal study in </w:t>
      </w:r>
      <w:r w:rsidR="00CD367C">
        <w:rPr>
          <w:rFonts w:asciiTheme="minorHAnsi" w:hAnsiTheme="minorHAnsi" w:cstheme="minorHAnsi"/>
        </w:rPr>
        <w:t>March</w:t>
      </w:r>
      <w:r w:rsidR="00B95BC6">
        <w:rPr>
          <w:rFonts w:asciiTheme="minorHAnsi" w:hAnsiTheme="minorHAnsi" w:cstheme="minorHAnsi"/>
        </w:rPr>
        <w:t xml:space="preserve"> 2018. In between</w:t>
      </w:r>
      <w:r w:rsidR="008B4D81">
        <w:rPr>
          <w:rFonts w:asciiTheme="minorHAnsi" w:hAnsiTheme="minorHAnsi" w:cstheme="minorHAnsi"/>
        </w:rPr>
        <w:t>,</w:t>
      </w:r>
      <w:r w:rsidR="00B95BC6">
        <w:rPr>
          <w:rFonts w:asciiTheme="minorHAnsi" w:hAnsiTheme="minorHAnsi" w:cstheme="minorHAnsi"/>
        </w:rPr>
        <w:t xml:space="preserve"> a futility analysis will be </w:t>
      </w:r>
      <w:r w:rsidR="00E6244D">
        <w:rPr>
          <w:rFonts w:asciiTheme="minorHAnsi" w:hAnsiTheme="minorHAnsi" w:cstheme="minorHAnsi"/>
        </w:rPr>
        <w:t>initiated in</w:t>
      </w:r>
      <w:r w:rsidR="00B95BC6">
        <w:rPr>
          <w:rFonts w:asciiTheme="minorHAnsi" w:hAnsiTheme="minorHAnsi" w:cstheme="minorHAnsi"/>
        </w:rPr>
        <w:t xml:space="preserve"> October 2017. Results </w:t>
      </w:r>
      <w:r w:rsidR="0064668B">
        <w:rPr>
          <w:rFonts w:asciiTheme="minorHAnsi" w:hAnsiTheme="minorHAnsi" w:cstheme="minorHAnsi"/>
        </w:rPr>
        <w:t xml:space="preserve">of the futility analysis </w:t>
      </w:r>
      <w:r w:rsidR="00B95BC6">
        <w:rPr>
          <w:rFonts w:asciiTheme="minorHAnsi" w:hAnsiTheme="minorHAnsi" w:cstheme="minorHAnsi"/>
        </w:rPr>
        <w:t>will be published as soon as they will become available.</w:t>
      </w:r>
    </w:p>
    <w:p w14:paraId="0C5F9575" w14:textId="77777777" w:rsidR="002B21D5" w:rsidRDefault="00B95BC6" w:rsidP="005942FC">
      <w:pPr>
        <w:pStyle w:val="Sansinterligne"/>
        <w:spacing w:after="160" w:line="276" w:lineRule="auto"/>
        <w:jc w:val="both"/>
      </w:pPr>
      <w:r>
        <w:rPr>
          <w:rFonts w:asciiTheme="minorHAnsi" w:hAnsiTheme="minorHAnsi" w:cstheme="minorHAnsi"/>
        </w:rPr>
        <w:t>Beyond the 15</w:t>
      </w:r>
      <w:r w:rsidR="008B4D81">
        <w:rPr>
          <w:rFonts w:asciiTheme="minorHAnsi" w:hAnsiTheme="minorHAnsi" w:cstheme="minorHAnsi"/>
        </w:rPr>
        <w:t>-</w:t>
      </w:r>
      <w:r>
        <w:rPr>
          <w:rFonts w:asciiTheme="minorHAnsi" w:hAnsiTheme="minorHAnsi" w:cstheme="minorHAnsi"/>
        </w:rPr>
        <w:t>month pivotal study,</w:t>
      </w:r>
      <w:r w:rsidR="008B4D81">
        <w:rPr>
          <w:rFonts w:asciiTheme="minorHAnsi" w:hAnsiTheme="minorHAnsi" w:cstheme="minorHAnsi"/>
        </w:rPr>
        <w:t xml:space="preserve"> for</w:t>
      </w:r>
      <w:r>
        <w:rPr>
          <w:rFonts w:asciiTheme="minorHAnsi" w:hAnsiTheme="minorHAnsi" w:cstheme="minorHAnsi"/>
        </w:rPr>
        <w:t xml:space="preserve"> </w:t>
      </w:r>
      <w:r w:rsidR="008B4D81">
        <w:rPr>
          <w:rFonts w:asciiTheme="minorHAnsi" w:hAnsiTheme="minorHAnsi" w:cstheme="minorHAnsi"/>
        </w:rPr>
        <w:t>which</w:t>
      </w:r>
      <w:r w:rsidR="00B562DA">
        <w:rPr>
          <w:rFonts w:asciiTheme="minorHAnsi" w:hAnsiTheme="minorHAnsi" w:cstheme="minorHAnsi"/>
        </w:rPr>
        <w:t xml:space="preserve"> top-line</w:t>
      </w:r>
      <w:r>
        <w:rPr>
          <w:rFonts w:asciiTheme="minorHAnsi" w:hAnsiTheme="minorHAnsi" w:cstheme="minorHAnsi"/>
        </w:rPr>
        <w:t xml:space="preserve"> results will be </w:t>
      </w:r>
      <w:r w:rsidR="00036160">
        <w:rPr>
          <w:rFonts w:asciiTheme="minorHAnsi" w:hAnsiTheme="minorHAnsi" w:cstheme="minorHAnsi"/>
        </w:rPr>
        <w:t xml:space="preserve">reported </w:t>
      </w:r>
      <w:r>
        <w:rPr>
          <w:rFonts w:asciiTheme="minorHAnsi" w:hAnsiTheme="minorHAnsi" w:cstheme="minorHAnsi"/>
        </w:rPr>
        <w:t xml:space="preserve">during </w:t>
      </w:r>
      <w:r w:rsidR="00036160">
        <w:rPr>
          <w:rFonts w:asciiTheme="minorHAnsi" w:hAnsiTheme="minorHAnsi" w:cstheme="minorHAnsi"/>
        </w:rPr>
        <w:t xml:space="preserve">the second </w:t>
      </w:r>
      <w:r w:rsidR="00B562DA">
        <w:rPr>
          <w:rFonts w:asciiTheme="minorHAnsi" w:hAnsiTheme="minorHAnsi" w:cstheme="minorHAnsi"/>
        </w:rPr>
        <w:t>quarter</w:t>
      </w:r>
      <w:r w:rsidR="00036160">
        <w:rPr>
          <w:rFonts w:asciiTheme="minorHAnsi" w:hAnsiTheme="minorHAnsi" w:cstheme="minorHAnsi"/>
        </w:rPr>
        <w:t xml:space="preserve"> of </w:t>
      </w:r>
      <w:r>
        <w:rPr>
          <w:rFonts w:asciiTheme="minorHAnsi" w:hAnsiTheme="minorHAnsi" w:cstheme="minorHAnsi"/>
        </w:rPr>
        <w:t>2018, patients will continue their treatment in a 9</w:t>
      </w:r>
      <w:r w:rsidR="008C09B1">
        <w:rPr>
          <w:rFonts w:asciiTheme="minorHAnsi" w:hAnsiTheme="minorHAnsi" w:cstheme="minorHAnsi"/>
        </w:rPr>
        <w:t>-</w:t>
      </w:r>
      <w:r>
        <w:rPr>
          <w:rFonts w:asciiTheme="minorHAnsi" w:hAnsiTheme="minorHAnsi" w:cstheme="minorHAnsi"/>
        </w:rPr>
        <w:t xml:space="preserve">month follow-up extension study </w:t>
      </w:r>
      <w:r>
        <w:t xml:space="preserve">designed to assess </w:t>
      </w:r>
      <w:r w:rsidR="00036160">
        <w:t xml:space="preserve">the </w:t>
      </w:r>
      <w:r>
        <w:t>long-term</w:t>
      </w:r>
      <w:r w:rsidR="002B21D5">
        <w:t xml:space="preserve"> safety</w:t>
      </w:r>
      <w:r w:rsidR="00036160">
        <w:t xml:space="preserve"> of </w:t>
      </w:r>
      <w:r w:rsidR="00036160">
        <w:rPr>
          <w:rFonts w:asciiTheme="minorHAnsi" w:hAnsiTheme="minorHAnsi" w:cstheme="minorHAnsi"/>
        </w:rPr>
        <w:t>PXT3003</w:t>
      </w:r>
      <w:r w:rsidR="002B21D5">
        <w:t>. This</w:t>
      </w:r>
      <w:r w:rsidR="00E6244D">
        <w:t xml:space="preserve"> follow-up</w:t>
      </w:r>
      <w:r w:rsidR="00B562DA">
        <w:t xml:space="preserve"> </w:t>
      </w:r>
      <w:r w:rsidR="00E6244D">
        <w:t>extension</w:t>
      </w:r>
      <w:r w:rsidR="002B21D5">
        <w:t xml:space="preserve"> study</w:t>
      </w:r>
      <w:r w:rsidR="00E6244D">
        <w:t>, which</w:t>
      </w:r>
      <w:r w:rsidR="002B21D5">
        <w:t xml:space="preserve"> began in </w:t>
      </w:r>
      <w:r w:rsidR="00CD367C">
        <w:t>March</w:t>
      </w:r>
      <w:r w:rsidR="002B21D5">
        <w:t xml:space="preserve"> 2017</w:t>
      </w:r>
      <w:r w:rsidR="00E6244D">
        <w:t>,</w:t>
      </w:r>
      <w:r w:rsidR="002B21D5">
        <w:t xml:space="preserve"> will continue throughout the year.</w:t>
      </w:r>
      <w:r w:rsidR="00B562DA">
        <w:t xml:space="preserve"> </w:t>
      </w:r>
    </w:p>
    <w:p w14:paraId="49F5648C" w14:textId="502124C1" w:rsidR="002B21D5" w:rsidRDefault="002B21D5" w:rsidP="007868AE">
      <w:pPr>
        <w:pStyle w:val="Sansinterligne"/>
        <w:spacing w:line="276" w:lineRule="auto"/>
        <w:jc w:val="both"/>
      </w:pPr>
      <w:r>
        <w:t>In parallel</w:t>
      </w:r>
      <w:r w:rsidR="00416475">
        <w:t xml:space="preserve"> to </w:t>
      </w:r>
      <w:r w:rsidR="0064668B">
        <w:t xml:space="preserve">the above mentioned </w:t>
      </w:r>
      <w:r w:rsidR="00416475">
        <w:t xml:space="preserve">clinical </w:t>
      </w:r>
      <w:r w:rsidR="00CD367C">
        <w:t>studies, the</w:t>
      </w:r>
      <w:r w:rsidR="00416475">
        <w:t xml:space="preserve"> C</w:t>
      </w:r>
      <w:r>
        <w:t xml:space="preserve">ompany also </w:t>
      </w:r>
      <w:r w:rsidR="009734CD">
        <w:t xml:space="preserve">initiated </w:t>
      </w:r>
      <w:r>
        <w:t xml:space="preserve">new preclinical </w:t>
      </w:r>
      <w:r w:rsidR="0064668B">
        <w:t xml:space="preserve">studies </w:t>
      </w:r>
      <w:r>
        <w:t xml:space="preserve">to </w:t>
      </w:r>
      <w:r w:rsidRPr="002B21D5">
        <w:t>complem</w:t>
      </w:r>
      <w:r w:rsidR="008B4D81">
        <w:t>ent the existing synergy data on</w:t>
      </w:r>
      <w:r w:rsidRPr="002B21D5">
        <w:t xml:space="preserve"> PXT3003</w:t>
      </w:r>
      <w:r>
        <w:t xml:space="preserve">. </w:t>
      </w:r>
      <w:r w:rsidRPr="002B21D5">
        <w:t xml:space="preserve">At the end of the </w:t>
      </w:r>
      <w:r w:rsidR="00416475">
        <w:t xml:space="preserve">15-month </w:t>
      </w:r>
      <w:r w:rsidRPr="002B21D5">
        <w:t>pivot</w:t>
      </w:r>
      <w:r w:rsidR="00416475">
        <w:t>al study, if</w:t>
      </w:r>
      <w:r w:rsidRPr="002B21D5">
        <w:t xml:space="preserve"> positive, Pharnext plans to </w:t>
      </w:r>
      <w:r w:rsidR="00770957">
        <w:t>submit an</w:t>
      </w:r>
      <w:r w:rsidR="00770957" w:rsidRPr="00770957">
        <w:t xml:space="preserve"> application dossier</w:t>
      </w:r>
      <w:r w:rsidR="00770957">
        <w:t xml:space="preserve"> for </w:t>
      </w:r>
      <w:r w:rsidR="00D320FF">
        <w:t xml:space="preserve">PXT3003 </w:t>
      </w:r>
      <w:r w:rsidR="00770957">
        <w:t xml:space="preserve">marketing </w:t>
      </w:r>
      <w:r w:rsidR="00D320FF">
        <w:t>authorization</w:t>
      </w:r>
      <w:r w:rsidR="00770957" w:rsidRPr="002B21D5">
        <w:t xml:space="preserve"> </w:t>
      </w:r>
      <w:r w:rsidRPr="002B21D5">
        <w:t>to the European regulatory authorities (EMA: European Medicine Agency) and</w:t>
      </w:r>
      <w:r w:rsidR="003758B4">
        <w:t xml:space="preserve"> U</w:t>
      </w:r>
      <w:r w:rsidR="001E62E5">
        <w:t>.</w:t>
      </w:r>
      <w:r w:rsidR="003758B4">
        <w:t>S</w:t>
      </w:r>
      <w:r w:rsidR="001E62E5">
        <w:t>.</w:t>
      </w:r>
      <w:r w:rsidR="003758B4">
        <w:t xml:space="preserve"> authorities</w:t>
      </w:r>
      <w:r w:rsidRPr="002B21D5">
        <w:t xml:space="preserve"> (FDA: Food and Drug Administration).</w:t>
      </w:r>
    </w:p>
    <w:p w14:paraId="661F2DCB" w14:textId="77777777" w:rsidR="002B21D5" w:rsidRDefault="002B21D5" w:rsidP="007868AE">
      <w:pPr>
        <w:pStyle w:val="Sansinterligne"/>
        <w:spacing w:line="276" w:lineRule="auto"/>
        <w:jc w:val="both"/>
        <w:rPr>
          <w:rFonts w:asciiTheme="minorHAnsi" w:hAnsiTheme="minorHAnsi" w:cstheme="minorHAnsi"/>
        </w:rPr>
      </w:pPr>
    </w:p>
    <w:p w14:paraId="552CA3E7" w14:textId="77777777" w:rsidR="002B21D5" w:rsidRDefault="00F43B85" w:rsidP="000B105D">
      <w:pPr>
        <w:pStyle w:val="Sansinterligne"/>
        <w:spacing w:after="160" w:line="276" w:lineRule="auto"/>
        <w:jc w:val="both"/>
        <w:rPr>
          <w:rFonts w:asciiTheme="minorHAnsi" w:hAnsiTheme="minorHAnsi" w:cstheme="minorHAnsi"/>
        </w:rPr>
      </w:pPr>
      <w:r>
        <w:rPr>
          <w:rFonts w:asciiTheme="minorHAnsi" w:hAnsiTheme="minorHAnsi" w:cstheme="minorHAnsi"/>
        </w:rPr>
        <w:lastRenderedPageBreak/>
        <w:t xml:space="preserve">In addition, after obtaining </w:t>
      </w:r>
      <w:r w:rsidR="001D4DD5">
        <w:rPr>
          <w:rFonts w:asciiTheme="minorHAnsi" w:hAnsiTheme="minorHAnsi" w:cstheme="minorHAnsi"/>
        </w:rPr>
        <w:t>promising</w:t>
      </w:r>
      <w:r w:rsidR="002B21D5" w:rsidRPr="002B21D5">
        <w:rPr>
          <w:rFonts w:asciiTheme="minorHAnsi" w:hAnsiTheme="minorHAnsi" w:cstheme="minorHAnsi"/>
        </w:rPr>
        <w:t xml:space="preserve"> preliminary results </w:t>
      </w:r>
      <w:r w:rsidR="002B21D5">
        <w:rPr>
          <w:rFonts w:asciiTheme="minorHAnsi" w:hAnsiTheme="minorHAnsi" w:cstheme="minorHAnsi"/>
        </w:rPr>
        <w:t xml:space="preserve">in </w:t>
      </w:r>
      <w:r w:rsidR="00416475">
        <w:rPr>
          <w:rFonts w:asciiTheme="minorHAnsi" w:hAnsiTheme="minorHAnsi" w:cstheme="minorHAnsi"/>
        </w:rPr>
        <w:t xml:space="preserve">the </w:t>
      </w:r>
      <w:r w:rsidR="009734CD">
        <w:rPr>
          <w:rFonts w:asciiTheme="minorHAnsi" w:hAnsiTheme="minorHAnsi" w:cstheme="minorHAnsi"/>
        </w:rPr>
        <w:t>P</w:t>
      </w:r>
      <w:r w:rsidR="00416475">
        <w:rPr>
          <w:rFonts w:asciiTheme="minorHAnsi" w:hAnsiTheme="minorHAnsi" w:cstheme="minorHAnsi"/>
        </w:rPr>
        <w:t>hase</w:t>
      </w:r>
      <w:r w:rsidR="002B21D5">
        <w:rPr>
          <w:rFonts w:asciiTheme="minorHAnsi" w:hAnsiTheme="minorHAnsi" w:cstheme="minorHAnsi"/>
        </w:rPr>
        <w:t xml:space="preserve"> </w:t>
      </w:r>
      <w:r w:rsidR="009734CD">
        <w:rPr>
          <w:rFonts w:asciiTheme="minorHAnsi" w:hAnsiTheme="minorHAnsi" w:cstheme="minorHAnsi"/>
        </w:rPr>
        <w:t xml:space="preserve">2a trial </w:t>
      </w:r>
      <w:r w:rsidR="002B21D5">
        <w:rPr>
          <w:rFonts w:asciiTheme="minorHAnsi" w:hAnsiTheme="minorHAnsi" w:cstheme="minorHAnsi"/>
        </w:rPr>
        <w:t>for</w:t>
      </w:r>
      <w:r w:rsidR="002B21D5" w:rsidRPr="002B21D5">
        <w:rPr>
          <w:rFonts w:asciiTheme="minorHAnsi" w:hAnsiTheme="minorHAnsi" w:cstheme="minorHAnsi"/>
        </w:rPr>
        <w:t xml:space="preserve"> PXT864 in Alzheimer's disease, the </w:t>
      </w:r>
      <w:r w:rsidR="009734CD">
        <w:rPr>
          <w:rFonts w:asciiTheme="minorHAnsi" w:hAnsiTheme="minorHAnsi" w:cstheme="minorHAnsi"/>
        </w:rPr>
        <w:t>C</w:t>
      </w:r>
      <w:r w:rsidR="009734CD" w:rsidRPr="002B21D5">
        <w:rPr>
          <w:rFonts w:asciiTheme="minorHAnsi" w:hAnsiTheme="minorHAnsi" w:cstheme="minorHAnsi"/>
        </w:rPr>
        <w:t xml:space="preserve">ompany </w:t>
      </w:r>
      <w:r w:rsidR="002B21D5" w:rsidRPr="002B21D5">
        <w:rPr>
          <w:rFonts w:asciiTheme="minorHAnsi" w:hAnsiTheme="minorHAnsi" w:cstheme="minorHAnsi"/>
        </w:rPr>
        <w:t xml:space="preserve">will continue </w:t>
      </w:r>
      <w:r w:rsidR="00416475">
        <w:rPr>
          <w:rFonts w:asciiTheme="minorHAnsi" w:hAnsiTheme="minorHAnsi" w:cstheme="minorHAnsi"/>
        </w:rPr>
        <w:t>the design of the p</w:t>
      </w:r>
      <w:r w:rsidR="002B21D5" w:rsidRPr="002B21D5">
        <w:rPr>
          <w:rFonts w:asciiTheme="minorHAnsi" w:hAnsiTheme="minorHAnsi" w:cstheme="minorHAnsi"/>
        </w:rPr>
        <w:t xml:space="preserve">rotocol of a </w:t>
      </w:r>
      <w:r w:rsidR="009734CD">
        <w:rPr>
          <w:rFonts w:asciiTheme="minorHAnsi" w:hAnsiTheme="minorHAnsi" w:cstheme="minorHAnsi"/>
        </w:rPr>
        <w:t>P</w:t>
      </w:r>
      <w:r w:rsidR="002B21D5">
        <w:rPr>
          <w:rFonts w:asciiTheme="minorHAnsi" w:hAnsiTheme="minorHAnsi" w:cstheme="minorHAnsi"/>
        </w:rPr>
        <w:t xml:space="preserve">hase </w:t>
      </w:r>
      <w:r w:rsidR="009734CD">
        <w:rPr>
          <w:rFonts w:asciiTheme="minorHAnsi" w:hAnsiTheme="minorHAnsi" w:cstheme="minorHAnsi"/>
        </w:rPr>
        <w:t xml:space="preserve">2b </w:t>
      </w:r>
      <w:r w:rsidR="002B21D5" w:rsidRPr="002B21D5">
        <w:rPr>
          <w:rFonts w:asciiTheme="minorHAnsi" w:hAnsiTheme="minorHAnsi" w:cstheme="minorHAnsi"/>
        </w:rPr>
        <w:t>study</w:t>
      </w:r>
      <w:r w:rsidR="009734CD">
        <w:rPr>
          <w:rFonts w:asciiTheme="minorHAnsi" w:hAnsiTheme="minorHAnsi" w:cstheme="minorHAnsi"/>
        </w:rPr>
        <w:t xml:space="preserve">, which is expected to </w:t>
      </w:r>
      <w:r w:rsidR="002B21D5" w:rsidRPr="002B21D5">
        <w:rPr>
          <w:rFonts w:asciiTheme="minorHAnsi" w:hAnsiTheme="minorHAnsi" w:cstheme="minorHAnsi"/>
        </w:rPr>
        <w:t xml:space="preserve">launch by the end of </w:t>
      </w:r>
      <w:r w:rsidR="009734CD">
        <w:rPr>
          <w:rFonts w:asciiTheme="minorHAnsi" w:hAnsiTheme="minorHAnsi" w:cstheme="minorHAnsi"/>
        </w:rPr>
        <w:t>2017</w:t>
      </w:r>
      <w:r w:rsidR="002B21D5">
        <w:rPr>
          <w:rFonts w:asciiTheme="minorHAnsi" w:hAnsiTheme="minorHAnsi" w:cstheme="minorHAnsi"/>
        </w:rPr>
        <w:t>.</w:t>
      </w:r>
      <w:r w:rsidR="00416475">
        <w:rPr>
          <w:rFonts w:asciiTheme="minorHAnsi" w:hAnsiTheme="minorHAnsi" w:cstheme="minorHAnsi"/>
        </w:rPr>
        <w:t xml:space="preserve"> </w:t>
      </w:r>
    </w:p>
    <w:p w14:paraId="2C98C8FC" w14:textId="77777777" w:rsidR="002B21D5" w:rsidRDefault="002B21D5" w:rsidP="005942FC">
      <w:pPr>
        <w:pStyle w:val="Sansinterligne"/>
        <w:spacing w:after="160" w:line="276" w:lineRule="auto"/>
        <w:jc w:val="both"/>
        <w:rPr>
          <w:rFonts w:asciiTheme="minorHAnsi" w:hAnsiTheme="minorHAnsi" w:cstheme="minorHAnsi"/>
        </w:rPr>
      </w:pPr>
      <w:r>
        <w:rPr>
          <w:rFonts w:asciiTheme="minorHAnsi" w:hAnsiTheme="minorHAnsi" w:cstheme="minorHAnsi"/>
        </w:rPr>
        <w:t xml:space="preserve">Finally, </w:t>
      </w:r>
      <w:r w:rsidR="00861890">
        <w:rPr>
          <w:rFonts w:asciiTheme="minorHAnsi" w:hAnsiTheme="minorHAnsi" w:cstheme="minorHAnsi"/>
        </w:rPr>
        <w:t>following</w:t>
      </w:r>
      <w:r w:rsidRPr="002B21D5">
        <w:rPr>
          <w:rFonts w:asciiTheme="minorHAnsi" w:hAnsiTheme="minorHAnsi" w:cstheme="minorHAnsi"/>
        </w:rPr>
        <w:t xml:space="preserve"> the </w:t>
      </w:r>
      <w:r>
        <w:rPr>
          <w:rFonts w:asciiTheme="minorHAnsi" w:hAnsiTheme="minorHAnsi" w:cstheme="minorHAnsi"/>
        </w:rPr>
        <w:t xml:space="preserve">signature of </w:t>
      </w:r>
      <w:r w:rsidR="00B562DA">
        <w:rPr>
          <w:rFonts w:asciiTheme="minorHAnsi" w:hAnsiTheme="minorHAnsi" w:cstheme="minorHAnsi"/>
        </w:rPr>
        <w:t>a research and development</w:t>
      </w:r>
      <w:r w:rsidR="001D4DD5">
        <w:rPr>
          <w:rFonts w:asciiTheme="minorHAnsi" w:hAnsiTheme="minorHAnsi" w:cstheme="minorHAnsi"/>
        </w:rPr>
        <w:t xml:space="preserve"> partnership</w:t>
      </w:r>
      <w:r w:rsidRPr="002B21D5">
        <w:rPr>
          <w:rFonts w:asciiTheme="minorHAnsi" w:hAnsiTheme="minorHAnsi" w:cstheme="minorHAnsi"/>
        </w:rPr>
        <w:t xml:space="preserve"> early </w:t>
      </w:r>
      <w:r>
        <w:rPr>
          <w:rFonts w:asciiTheme="minorHAnsi" w:hAnsiTheme="minorHAnsi" w:cstheme="minorHAnsi"/>
        </w:rPr>
        <w:t xml:space="preserve">in </w:t>
      </w:r>
      <w:r w:rsidRPr="002B21D5">
        <w:rPr>
          <w:rFonts w:asciiTheme="minorHAnsi" w:hAnsiTheme="minorHAnsi" w:cstheme="minorHAnsi"/>
        </w:rPr>
        <w:t>March with Galapagos</w:t>
      </w:r>
      <w:r w:rsidR="00AA0469">
        <w:rPr>
          <w:rFonts w:asciiTheme="minorHAnsi" w:hAnsiTheme="minorHAnsi" w:cstheme="minorHAnsi"/>
        </w:rPr>
        <w:t xml:space="preserve"> NV</w:t>
      </w:r>
      <w:r w:rsidRPr="002B21D5">
        <w:rPr>
          <w:rFonts w:asciiTheme="minorHAnsi" w:hAnsiTheme="minorHAnsi" w:cstheme="minorHAnsi"/>
        </w:rPr>
        <w:t xml:space="preserve">, on the </w:t>
      </w:r>
      <w:r>
        <w:rPr>
          <w:rFonts w:asciiTheme="minorHAnsi" w:hAnsiTheme="minorHAnsi" w:cstheme="minorHAnsi"/>
        </w:rPr>
        <w:t xml:space="preserve">creation of a new pipeline of </w:t>
      </w:r>
      <w:r w:rsidR="00AA0469">
        <w:rPr>
          <w:rFonts w:asciiTheme="minorHAnsi" w:hAnsiTheme="minorHAnsi" w:cstheme="minorHAnsi"/>
        </w:rPr>
        <w:t xml:space="preserve">novel </w:t>
      </w:r>
      <w:r w:rsidRPr="002B21D5">
        <w:rPr>
          <w:rFonts w:asciiTheme="minorHAnsi" w:hAnsiTheme="minorHAnsi" w:cstheme="minorHAnsi"/>
        </w:rPr>
        <w:t xml:space="preserve">synergistic </w:t>
      </w:r>
      <w:r w:rsidR="00AA0469">
        <w:rPr>
          <w:rFonts w:asciiTheme="minorHAnsi" w:hAnsiTheme="minorHAnsi" w:cstheme="minorHAnsi"/>
        </w:rPr>
        <w:t xml:space="preserve">drug </w:t>
      </w:r>
      <w:r w:rsidRPr="002B21D5">
        <w:rPr>
          <w:rFonts w:asciiTheme="minorHAnsi" w:hAnsiTheme="minorHAnsi" w:cstheme="minorHAnsi"/>
        </w:rPr>
        <w:t>combinations, Pharnext plans</w:t>
      </w:r>
      <w:r w:rsidR="00AA0469">
        <w:rPr>
          <w:rFonts w:asciiTheme="minorHAnsi" w:hAnsiTheme="minorHAnsi" w:cstheme="minorHAnsi"/>
        </w:rPr>
        <w:t xml:space="preserve"> </w:t>
      </w:r>
      <w:r w:rsidR="00E6244D">
        <w:rPr>
          <w:rFonts w:asciiTheme="minorHAnsi" w:hAnsiTheme="minorHAnsi" w:cstheme="minorHAnsi"/>
        </w:rPr>
        <w:t>new agreements with other parties</w:t>
      </w:r>
      <w:r w:rsidRPr="002B21D5">
        <w:rPr>
          <w:rFonts w:asciiTheme="minorHAnsi" w:hAnsiTheme="minorHAnsi" w:cstheme="minorHAnsi"/>
        </w:rPr>
        <w:t>.</w:t>
      </w:r>
    </w:p>
    <w:p w14:paraId="7C632CE2" w14:textId="5F6E4142" w:rsidR="002B21D5" w:rsidRDefault="00CD367C" w:rsidP="007868AE">
      <w:pPr>
        <w:pStyle w:val="Sansinterligne"/>
        <w:spacing w:line="276" w:lineRule="auto"/>
        <w:jc w:val="both"/>
        <w:rPr>
          <w:rFonts w:asciiTheme="minorHAnsi" w:hAnsiTheme="minorHAnsi" w:cstheme="minorHAnsi"/>
        </w:rPr>
      </w:pPr>
      <w:r>
        <w:rPr>
          <w:rFonts w:asciiTheme="minorHAnsi" w:hAnsiTheme="minorHAnsi" w:cstheme="minorHAnsi"/>
        </w:rPr>
        <w:t>Thus,</w:t>
      </w:r>
      <w:r w:rsidR="002B21D5">
        <w:rPr>
          <w:rFonts w:asciiTheme="minorHAnsi" w:hAnsiTheme="minorHAnsi" w:cstheme="minorHAnsi"/>
        </w:rPr>
        <w:t xml:space="preserve"> </w:t>
      </w:r>
      <w:r w:rsidR="002B21D5" w:rsidRPr="002B21D5">
        <w:rPr>
          <w:rFonts w:asciiTheme="minorHAnsi" w:hAnsiTheme="minorHAnsi" w:cstheme="minorHAnsi"/>
        </w:rPr>
        <w:t xml:space="preserve">Pharnext is currently in </w:t>
      </w:r>
      <w:r w:rsidR="00753347">
        <w:rPr>
          <w:rFonts w:asciiTheme="minorHAnsi" w:hAnsiTheme="minorHAnsi" w:cstheme="minorHAnsi"/>
        </w:rPr>
        <w:t xml:space="preserve">advanced </w:t>
      </w:r>
      <w:r w:rsidR="002B21D5" w:rsidRPr="002B21D5">
        <w:rPr>
          <w:rFonts w:asciiTheme="minorHAnsi" w:hAnsiTheme="minorHAnsi" w:cstheme="minorHAnsi"/>
        </w:rPr>
        <w:t xml:space="preserve">discussion </w:t>
      </w:r>
      <w:r w:rsidR="00EB2E1E">
        <w:rPr>
          <w:rFonts w:asciiTheme="minorHAnsi" w:hAnsiTheme="minorHAnsi" w:cstheme="minorHAnsi"/>
        </w:rPr>
        <w:t xml:space="preserve">on several international industrial strategic agreements. </w:t>
      </w:r>
      <w:r w:rsidR="002B21D5" w:rsidRPr="002B21D5">
        <w:rPr>
          <w:rFonts w:asciiTheme="minorHAnsi" w:hAnsiTheme="minorHAnsi" w:cstheme="minorHAnsi"/>
        </w:rPr>
        <w:t xml:space="preserve">These </w:t>
      </w:r>
      <w:r w:rsidR="00EB2E1E">
        <w:rPr>
          <w:rFonts w:asciiTheme="minorHAnsi" w:hAnsiTheme="minorHAnsi" w:cstheme="minorHAnsi"/>
        </w:rPr>
        <w:t>agreements</w:t>
      </w:r>
      <w:r w:rsidR="00EB2E1E" w:rsidRPr="002B21D5">
        <w:rPr>
          <w:rFonts w:asciiTheme="minorHAnsi" w:hAnsiTheme="minorHAnsi" w:cstheme="minorHAnsi"/>
        </w:rPr>
        <w:t xml:space="preserve"> </w:t>
      </w:r>
      <w:r w:rsidR="00EB2E1E" w:rsidRPr="00EB2E1E">
        <w:rPr>
          <w:rFonts w:asciiTheme="minorHAnsi" w:hAnsiTheme="minorHAnsi" w:cstheme="minorHAnsi"/>
        </w:rPr>
        <w:t xml:space="preserve">would contain business licenses, development of new pipelines and minority investments </w:t>
      </w:r>
      <w:r w:rsidR="004F7B50">
        <w:rPr>
          <w:rFonts w:asciiTheme="minorHAnsi" w:hAnsiTheme="minorHAnsi" w:cstheme="minorHAnsi"/>
        </w:rPr>
        <w:t xml:space="preserve">in equity </w:t>
      </w:r>
      <w:r w:rsidR="00EB2E1E" w:rsidRPr="00EB2E1E">
        <w:rPr>
          <w:rFonts w:asciiTheme="minorHAnsi" w:hAnsiTheme="minorHAnsi" w:cstheme="minorHAnsi"/>
        </w:rPr>
        <w:t xml:space="preserve">with a </w:t>
      </w:r>
      <w:r w:rsidR="00EB2E1E">
        <w:rPr>
          <w:rFonts w:asciiTheme="minorHAnsi" w:hAnsiTheme="minorHAnsi" w:cstheme="minorHAnsi"/>
        </w:rPr>
        <w:t xml:space="preserve">premium </w:t>
      </w:r>
      <w:r w:rsidR="00EB2E1E" w:rsidRPr="00EB2E1E">
        <w:rPr>
          <w:rFonts w:asciiTheme="minorHAnsi" w:hAnsiTheme="minorHAnsi" w:cstheme="minorHAnsi"/>
        </w:rPr>
        <w:t>on the</w:t>
      </w:r>
      <w:r w:rsidR="00462ED8">
        <w:rPr>
          <w:rFonts w:asciiTheme="minorHAnsi" w:hAnsiTheme="minorHAnsi" w:cstheme="minorHAnsi"/>
        </w:rPr>
        <w:t xml:space="preserve"> current</w:t>
      </w:r>
      <w:r w:rsidR="00EB2E1E" w:rsidRPr="00EB2E1E">
        <w:rPr>
          <w:rFonts w:asciiTheme="minorHAnsi" w:hAnsiTheme="minorHAnsi" w:cstheme="minorHAnsi"/>
        </w:rPr>
        <w:t xml:space="preserve"> stock market price</w:t>
      </w:r>
      <w:r w:rsidR="00EB2E1E">
        <w:rPr>
          <w:rFonts w:asciiTheme="minorHAnsi" w:hAnsiTheme="minorHAnsi" w:cstheme="minorHAnsi"/>
        </w:rPr>
        <w:t xml:space="preserve">. </w:t>
      </w:r>
    </w:p>
    <w:p w14:paraId="03BDC2EE" w14:textId="77777777" w:rsidR="002B21D5" w:rsidRPr="006E0B5D" w:rsidRDefault="002B21D5" w:rsidP="007868AE">
      <w:pPr>
        <w:pStyle w:val="Sansinterligne"/>
        <w:spacing w:line="276" w:lineRule="auto"/>
        <w:jc w:val="both"/>
        <w:rPr>
          <w:rFonts w:asciiTheme="minorHAnsi" w:hAnsiTheme="minorHAnsi" w:cstheme="minorHAnsi"/>
        </w:rPr>
      </w:pPr>
    </w:p>
    <w:p w14:paraId="21EBDC6F" w14:textId="77777777" w:rsidR="006016F4" w:rsidRDefault="008762D7" w:rsidP="006016F4">
      <w:pPr>
        <w:pStyle w:val="NormalText"/>
        <w:spacing w:line="276" w:lineRule="auto"/>
        <w:rPr>
          <w:rFonts w:asciiTheme="majorHAnsi" w:eastAsia="Calibri" w:hAnsiTheme="majorHAnsi" w:cstheme="minorHAnsi"/>
          <w:b/>
          <w:bCs/>
          <w:color w:val="323796"/>
          <w:sz w:val="22"/>
          <w:szCs w:val="22"/>
        </w:rPr>
      </w:pPr>
      <w:r w:rsidRPr="009A2489">
        <w:rPr>
          <w:rFonts w:asciiTheme="majorHAnsi" w:eastAsia="Calibri" w:hAnsiTheme="majorHAnsi" w:cstheme="minorHAnsi"/>
          <w:b/>
          <w:bCs/>
          <w:color w:val="323796"/>
          <w:sz w:val="22"/>
          <w:szCs w:val="22"/>
        </w:rPr>
        <w:t>About</w:t>
      </w:r>
      <w:r w:rsidR="001F7AE8" w:rsidRPr="009A2489">
        <w:rPr>
          <w:rFonts w:asciiTheme="majorHAnsi" w:eastAsia="Calibri" w:hAnsiTheme="majorHAnsi" w:cstheme="minorHAnsi"/>
          <w:b/>
          <w:bCs/>
          <w:color w:val="323796"/>
          <w:sz w:val="22"/>
          <w:szCs w:val="22"/>
        </w:rPr>
        <w:t xml:space="preserve"> Pharnext</w:t>
      </w:r>
    </w:p>
    <w:p w14:paraId="70745C19" w14:textId="77777777" w:rsidR="00A279B3" w:rsidRPr="009A2489" w:rsidRDefault="00A279B3" w:rsidP="006016F4">
      <w:pPr>
        <w:pStyle w:val="NormalText"/>
        <w:spacing w:line="276" w:lineRule="auto"/>
        <w:rPr>
          <w:rFonts w:asciiTheme="majorHAnsi" w:eastAsia="Calibri" w:hAnsiTheme="majorHAnsi" w:cstheme="minorHAnsi"/>
          <w:b/>
          <w:bCs/>
          <w:color w:val="323796"/>
          <w:sz w:val="22"/>
          <w:szCs w:val="22"/>
        </w:rPr>
      </w:pPr>
    </w:p>
    <w:p w14:paraId="3AFE19C0" w14:textId="77777777" w:rsidR="00A279B3" w:rsidRPr="00FE392C" w:rsidRDefault="00A279B3" w:rsidP="00A279B3">
      <w:pPr>
        <w:pStyle w:val="NormalText"/>
        <w:spacing w:line="276" w:lineRule="auto"/>
        <w:jc w:val="both"/>
        <w:rPr>
          <w:rFonts w:asciiTheme="minorHAnsi" w:hAnsiTheme="minorHAnsi" w:cstheme="minorHAnsi"/>
          <w:sz w:val="22"/>
          <w:szCs w:val="22"/>
        </w:rPr>
      </w:pPr>
      <w:r w:rsidRPr="00DB2280">
        <w:rPr>
          <w:rFonts w:asciiTheme="minorHAnsi" w:hAnsiTheme="minorHAnsi" w:cstheme="minorHAnsi"/>
          <w:sz w:val="22"/>
          <w:szCs w:val="22"/>
        </w:rPr>
        <w:t xml:space="preserve">Pharnext is an advanced clinical-stage biopharmaceutical company founded by renowned scientists and entrepreneurs including Professor Daniel Cohen, a pioneer in modern genomics: Pharnext focuses on neurodegenerative diseases and has two lead products in clinical development: PXT3003 is currently in an international Phase 3 trial for the treatment of Charcot-Marie-Tooth disease type 1A and benefits from orphan drug status in Europe and the United States. PXT864 has generated positive Phase 2 results in Alzheimer’s disease. Pharnext is the pioneer of a new drug discovery paradigm: PLEOTHERAPY™. The </w:t>
      </w:r>
      <w:r w:rsidR="008E1DC4">
        <w:rPr>
          <w:rFonts w:asciiTheme="minorHAnsi" w:hAnsiTheme="minorHAnsi" w:cstheme="minorHAnsi"/>
          <w:sz w:val="22"/>
          <w:szCs w:val="22"/>
        </w:rPr>
        <w:t>C</w:t>
      </w:r>
      <w:r w:rsidR="008E1DC4" w:rsidRPr="00DB2280">
        <w:rPr>
          <w:rFonts w:asciiTheme="minorHAnsi" w:hAnsiTheme="minorHAnsi" w:cstheme="minorHAnsi"/>
          <w:sz w:val="22"/>
          <w:szCs w:val="22"/>
        </w:rPr>
        <w:t xml:space="preserve">ompany </w:t>
      </w:r>
      <w:r w:rsidRPr="00DB2280">
        <w:rPr>
          <w:rFonts w:asciiTheme="minorHAnsi" w:hAnsiTheme="minorHAnsi" w:cstheme="minorHAnsi"/>
          <w:sz w:val="22"/>
          <w:szCs w:val="22"/>
        </w:rPr>
        <w:t xml:space="preserve">identifies and develops synergic combinations of repositioned drugs at low dose. These PLEODRUG™ offer several key advantages: efficacy, safety and intellectual property including several </w:t>
      </w:r>
      <w:r>
        <w:rPr>
          <w:rFonts w:asciiTheme="minorHAnsi" w:hAnsiTheme="minorHAnsi" w:cstheme="minorHAnsi"/>
          <w:sz w:val="22"/>
          <w:szCs w:val="22"/>
        </w:rPr>
        <w:t xml:space="preserve">product or </w:t>
      </w:r>
      <w:r w:rsidRPr="00DB2280">
        <w:rPr>
          <w:rFonts w:asciiTheme="minorHAnsi" w:hAnsiTheme="minorHAnsi" w:cstheme="minorHAnsi"/>
          <w:sz w:val="22"/>
          <w:szCs w:val="22"/>
        </w:rPr>
        <w:t>composition of matter patents already granted. The Company is supported by a world-class scientific team.</w:t>
      </w:r>
    </w:p>
    <w:p w14:paraId="412EBF87" w14:textId="77777777" w:rsidR="00A279B3" w:rsidRPr="00FE392C" w:rsidRDefault="00A279B3" w:rsidP="00A279B3">
      <w:pPr>
        <w:pStyle w:val="NormalText"/>
        <w:spacing w:line="276" w:lineRule="auto"/>
        <w:jc w:val="both"/>
        <w:rPr>
          <w:rFonts w:asciiTheme="minorHAnsi" w:hAnsiTheme="minorHAnsi" w:cstheme="minorHAnsi"/>
          <w:sz w:val="22"/>
          <w:szCs w:val="22"/>
        </w:rPr>
      </w:pPr>
      <w:r w:rsidRPr="00FE392C">
        <w:rPr>
          <w:rFonts w:asciiTheme="minorHAnsi" w:hAnsiTheme="minorHAnsi" w:cstheme="minorHAnsi"/>
          <w:sz w:val="22"/>
          <w:szCs w:val="22"/>
        </w:rPr>
        <w:t xml:space="preserve"> </w:t>
      </w:r>
    </w:p>
    <w:p w14:paraId="12A53679" w14:textId="598B842F" w:rsidR="00A279B3" w:rsidRPr="00FE392C" w:rsidRDefault="00A279B3" w:rsidP="00A279B3">
      <w:pPr>
        <w:widowControl w:val="0"/>
        <w:autoSpaceDE w:val="0"/>
        <w:autoSpaceDN w:val="0"/>
        <w:adjustRightInd w:val="0"/>
        <w:spacing w:after="0" w:line="276" w:lineRule="auto"/>
        <w:jc w:val="both"/>
        <w:rPr>
          <w:rFonts w:asciiTheme="minorHAnsi" w:hAnsiTheme="minorHAnsi" w:cstheme="minorHAnsi"/>
        </w:rPr>
      </w:pPr>
      <w:r w:rsidRPr="00FE392C">
        <w:rPr>
          <w:rFonts w:asciiTheme="minorHAnsi" w:hAnsiTheme="minorHAnsi" w:cstheme="minorHAnsi"/>
        </w:rPr>
        <w:t xml:space="preserve">The company Pharnext is listed on Euronext </w:t>
      </w:r>
      <w:proofErr w:type="spellStart"/>
      <w:r w:rsidRPr="00FE392C">
        <w:rPr>
          <w:rFonts w:asciiTheme="minorHAnsi" w:hAnsiTheme="minorHAnsi" w:cstheme="minorHAnsi"/>
        </w:rPr>
        <w:t>Alternext</w:t>
      </w:r>
      <w:proofErr w:type="spellEnd"/>
      <w:r w:rsidRPr="00FE392C">
        <w:rPr>
          <w:rFonts w:asciiTheme="minorHAnsi" w:hAnsiTheme="minorHAnsi" w:cstheme="minorHAnsi"/>
        </w:rPr>
        <w:t xml:space="preserve"> Stock Exchange in Paris (ISIN code: FR00111911287).  </w:t>
      </w:r>
    </w:p>
    <w:p w14:paraId="67277827" w14:textId="77777777" w:rsidR="00A279B3" w:rsidRPr="002B26FC" w:rsidRDefault="00A279B3" w:rsidP="00A279B3">
      <w:pPr>
        <w:widowControl w:val="0"/>
        <w:autoSpaceDE w:val="0"/>
        <w:autoSpaceDN w:val="0"/>
        <w:adjustRightInd w:val="0"/>
        <w:spacing w:after="0" w:line="276" w:lineRule="auto"/>
        <w:jc w:val="both"/>
        <w:rPr>
          <w:rFonts w:asciiTheme="majorHAnsi" w:hAnsiTheme="majorHAnsi" w:cstheme="majorHAnsi"/>
          <w:i/>
        </w:rPr>
      </w:pPr>
      <w:r w:rsidRPr="00FE392C">
        <w:rPr>
          <w:rFonts w:asciiTheme="minorHAnsi" w:hAnsiTheme="minorHAnsi" w:cstheme="minorHAnsi"/>
          <w:i/>
        </w:rPr>
        <w:t>For more information, visit</w:t>
      </w:r>
      <w:r w:rsidRPr="002B26FC">
        <w:rPr>
          <w:rFonts w:asciiTheme="majorHAnsi" w:hAnsiTheme="majorHAnsi" w:cstheme="majorHAnsi"/>
          <w:i/>
        </w:rPr>
        <w:t xml:space="preserve"> </w:t>
      </w:r>
      <w:hyperlink r:id="rId9" w:history="1">
        <w:r w:rsidRPr="002B26FC">
          <w:rPr>
            <w:rStyle w:val="Lienhypertexte"/>
            <w:rFonts w:asciiTheme="majorHAnsi" w:hAnsiTheme="majorHAnsi" w:cstheme="majorHAnsi"/>
            <w:i/>
          </w:rPr>
          <w:t>www.pharnext.com</w:t>
        </w:r>
      </w:hyperlink>
    </w:p>
    <w:p w14:paraId="703952D9" w14:textId="77777777" w:rsidR="003758B4" w:rsidRDefault="003758B4" w:rsidP="007868AE">
      <w:pPr>
        <w:pStyle w:val="Normal1"/>
        <w:jc w:val="both"/>
      </w:pPr>
    </w:p>
    <w:p w14:paraId="622C3123" w14:textId="77777777" w:rsidR="003758B4" w:rsidRPr="003758B4" w:rsidRDefault="003758B4" w:rsidP="003758B4">
      <w:pPr>
        <w:pStyle w:val="NormalText"/>
        <w:spacing w:line="276" w:lineRule="auto"/>
        <w:rPr>
          <w:rFonts w:asciiTheme="majorHAnsi" w:eastAsia="Calibri" w:hAnsiTheme="majorHAnsi" w:cstheme="minorHAnsi"/>
          <w:b/>
          <w:bCs/>
          <w:color w:val="323796"/>
          <w:sz w:val="22"/>
          <w:szCs w:val="22"/>
        </w:rPr>
      </w:pPr>
      <w:r w:rsidRPr="003758B4">
        <w:rPr>
          <w:rFonts w:asciiTheme="majorHAnsi" w:eastAsia="Calibri" w:hAnsiTheme="majorHAnsi" w:cstheme="minorHAnsi"/>
          <w:b/>
          <w:bCs/>
          <w:color w:val="323796"/>
          <w:sz w:val="22"/>
          <w:szCs w:val="22"/>
        </w:rPr>
        <w:t xml:space="preserve">DISCLAIMER </w:t>
      </w:r>
    </w:p>
    <w:p w14:paraId="5465F18B" w14:textId="77777777" w:rsidR="006E0B5D" w:rsidRPr="00BC746B" w:rsidRDefault="003758B4" w:rsidP="007868AE">
      <w:pPr>
        <w:pStyle w:val="Normal1"/>
        <w:jc w:val="both"/>
        <w:rPr>
          <w:rFonts w:asciiTheme="majorHAnsi" w:hAnsiTheme="majorHAnsi" w:cstheme="minorHAnsi"/>
          <w:b/>
          <w:bCs/>
          <w:color w:val="323796"/>
        </w:rPr>
      </w:pPr>
      <w:r>
        <w:t xml:space="preserve">This press release contains certain forward-looking statements concerning Pharnext and its business. Such forward-looking statements are based on assumptions that Pharnext considers to be reasonable. However, there can be no assurance that such forward-looking statements will be verified, which statements are subject to numerous risks, including the risks set forth in the Document de </w:t>
      </w:r>
      <w:proofErr w:type="spellStart"/>
      <w:r>
        <w:t>référence</w:t>
      </w:r>
      <w:proofErr w:type="spellEnd"/>
      <w:r>
        <w:t xml:space="preserve"> registration document filed with the </w:t>
      </w:r>
      <w:proofErr w:type="spellStart"/>
      <w:r>
        <w:t>Autorité</w:t>
      </w:r>
      <w:proofErr w:type="spellEnd"/>
      <w:r>
        <w:t xml:space="preserve"> des </w:t>
      </w:r>
      <w:proofErr w:type="spellStart"/>
      <w:r>
        <w:t>marchés</w:t>
      </w:r>
      <w:proofErr w:type="spellEnd"/>
      <w:r>
        <w:t xml:space="preserve"> financiers (AMF- French Financial Market Authority) on July 28, 2016 under n°R.16-069 and to the development of economic conditions, financial markets and the markets in which Pharnext operates. The forward-looking statements contained in this press release are also subject to risks not yet known to Pharnext or not currently considered material by Pharnext. The occurrence of all or part of such risks could cause actual results, financial conditions, performance or achievements of Pharnext to be materially different from such forward-looking statements. This press release and the information that it contains do not constitute an offer to sell or subscribe for, or a solicitation of an offer to purchase or subscribe for, Pharnext shares in any country. The communication of this press release in certain countries may constitute a violation of local laws and regulations. Any recipient of this press release must inform oneself of any such local restrictions and comply therewith.</w:t>
      </w:r>
    </w:p>
    <w:p w14:paraId="65F03590" w14:textId="77777777" w:rsidR="006E0B5D" w:rsidRPr="00BC746B" w:rsidRDefault="006E0B5D" w:rsidP="007868AE">
      <w:pPr>
        <w:pStyle w:val="Normal1"/>
        <w:jc w:val="both"/>
        <w:rPr>
          <w:rFonts w:asciiTheme="majorHAnsi" w:hAnsiTheme="majorHAnsi" w:cstheme="minorHAnsi"/>
          <w:b/>
          <w:bCs/>
          <w:color w:val="323796"/>
        </w:rPr>
      </w:pPr>
    </w:p>
    <w:p w14:paraId="4B43CDDF" w14:textId="77777777" w:rsidR="007868AE" w:rsidRPr="00F92301" w:rsidRDefault="00CD367C" w:rsidP="007868AE">
      <w:pPr>
        <w:pStyle w:val="Normal1"/>
        <w:jc w:val="both"/>
        <w:rPr>
          <w:rFonts w:asciiTheme="majorHAnsi" w:hAnsiTheme="majorHAnsi" w:cstheme="minorHAnsi"/>
          <w:b/>
          <w:color w:val="323796"/>
          <w:lang w:val="fr-FR"/>
        </w:rPr>
      </w:pPr>
      <w:r w:rsidRPr="00F92301">
        <w:rPr>
          <w:rFonts w:asciiTheme="majorHAnsi" w:hAnsiTheme="majorHAnsi" w:cstheme="minorHAnsi"/>
          <w:b/>
          <w:bCs/>
          <w:color w:val="323796"/>
          <w:lang w:val="fr-FR"/>
        </w:rPr>
        <w:t>CONTACTS :</w:t>
      </w:r>
    </w:p>
    <w:tbl>
      <w:tblPr>
        <w:tblStyle w:val="TableNormal1"/>
        <w:tblW w:w="10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36"/>
        <w:gridCol w:w="3544"/>
        <w:gridCol w:w="3118"/>
      </w:tblGrid>
      <w:tr w:rsidR="008762D7" w:rsidRPr="00F92301" w14:paraId="7B3EFAB5" w14:textId="77777777" w:rsidTr="00BC450A">
        <w:trPr>
          <w:trHeight w:val="1312"/>
        </w:trPr>
        <w:tc>
          <w:tcPr>
            <w:tcW w:w="3436" w:type="dxa"/>
            <w:tcBorders>
              <w:top w:val="nil"/>
              <w:left w:val="nil"/>
              <w:bottom w:val="nil"/>
              <w:right w:val="nil"/>
            </w:tcBorders>
            <w:shd w:val="clear" w:color="auto" w:fill="auto"/>
            <w:tcMar>
              <w:top w:w="80" w:type="dxa"/>
              <w:left w:w="80" w:type="dxa"/>
              <w:bottom w:w="80" w:type="dxa"/>
              <w:right w:w="80" w:type="dxa"/>
            </w:tcMar>
          </w:tcPr>
          <w:p w14:paraId="033DC7D2" w14:textId="77777777" w:rsidR="008762D7" w:rsidRPr="008762D7" w:rsidRDefault="008762D7" w:rsidP="008762D7">
            <w:pPr>
              <w:spacing w:line="276" w:lineRule="auto"/>
              <w:contextualSpacing/>
              <w:rPr>
                <w:rFonts w:asciiTheme="minorHAnsi" w:hAnsiTheme="minorHAnsi"/>
                <w:b/>
                <w:bCs/>
                <w:sz w:val="22"/>
                <w:szCs w:val="22"/>
                <w:lang w:val="en-US"/>
              </w:rPr>
            </w:pPr>
            <w:r w:rsidRPr="008762D7">
              <w:rPr>
                <w:rFonts w:asciiTheme="minorHAnsi" w:hAnsiTheme="minorHAnsi"/>
                <w:b/>
                <w:bCs/>
                <w:sz w:val="22"/>
                <w:szCs w:val="22"/>
                <w:lang w:val="en-US"/>
              </w:rPr>
              <w:t>Pharnext</w:t>
            </w:r>
          </w:p>
          <w:p w14:paraId="742774AA" w14:textId="77777777" w:rsidR="008762D7" w:rsidRPr="008762D7" w:rsidRDefault="008762D7" w:rsidP="008762D7">
            <w:pPr>
              <w:spacing w:line="276" w:lineRule="auto"/>
              <w:contextualSpacing/>
              <w:rPr>
                <w:rFonts w:asciiTheme="minorHAnsi" w:hAnsiTheme="minorHAnsi"/>
                <w:bCs/>
                <w:sz w:val="22"/>
                <w:szCs w:val="22"/>
                <w:lang w:val="en-US" w:eastAsia="de-DE"/>
              </w:rPr>
            </w:pPr>
            <w:r w:rsidRPr="008762D7">
              <w:rPr>
                <w:rFonts w:asciiTheme="minorHAnsi" w:hAnsiTheme="minorHAnsi"/>
                <w:bCs/>
                <w:sz w:val="22"/>
                <w:szCs w:val="22"/>
                <w:lang w:val="en-US" w:eastAsia="de-DE"/>
              </w:rPr>
              <w:t>Pierre Schwich</w:t>
            </w:r>
          </w:p>
          <w:p w14:paraId="28B39280" w14:textId="77777777" w:rsidR="008762D7" w:rsidRPr="008762D7" w:rsidRDefault="008762D7" w:rsidP="008762D7">
            <w:pPr>
              <w:spacing w:line="276" w:lineRule="auto"/>
              <w:contextualSpacing/>
              <w:rPr>
                <w:rFonts w:asciiTheme="minorHAnsi" w:hAnsiTheme="minorHAnsi"/>
                <w:bCs/>
                <w:sz w:val="22"/>
                <w:szCs w:val="22"/>
                <w:lang w:val="en-US" w:eastAsia="de-DE"/>
              </w:rPr>
            </w:pPr>
            <w:r w:rsidRPr="008762D7">
              <w:rPr>
                <w:rFonts w:asciiTheme="minorHAnsi" w:hAnsiTheme="minorHAnsi"/>
                <w:bCs/>
                <w:sz w:val="22"/>
                <w:szCs w:val="22"/>
                <w:lang w:val="en-US" w:eastAsia="de-DE"/>
              </w:rPr>
              <w:t>Chief Financial Officer</w:t>
            </w:r>
          </w:p>
          <w:p w14:paraId="0C0802E8" w14:textId="77777777" w:rsidR="008762D7" w:rsidRPr="00F06B95" w:rsidRDefault="0007295C" w:rsidP="008762D7">
            <w:pPr>
              <w:spacing w:line="276" w:lineRule="auto"/>
              <w:contextualSpacing/>
              <w:rPr>
                <w:rFonts w:asciiTheme="minorHAnsi" w:hAnsiTheme="minorHAnsi"/>
                <w:sz w:val="22"/>
                <w:szCs w:val="22"/>
              </w:rPr>
            </w:pPr>
            <w:hyperlink r:id="rId10" w:history="1">
              <w:r w:rsidR="008762D7" w:rsidRPr="00F06B95">
                <w:rPr>
                  <w:rFonts w:asciiTheme="minorHAnsi" w:hAnsiTheme="minorHAnsi"/>
                  <w:color w:val="0563C1"/>
                  <w:sz w:val="22"/>
                  <w:szCs w:val="22"/>
                  <w:u w:val="single" w:color="0563C1"/>
                </w:rPr>
                <w:t>investors@pharnext.com</w:t>
              </w:r>
            </w:hyperlink>
          </w:p>
          <w:p w14:paraId="2A643FEC" w14:textId="77777777" w:rsidR="008762D7" w:rsidRPr="00F06B95" w:rsidRDefault="008762D7" w:rsidP="008762D7">
            <w:pPr>
              <w:spacing w:line="276" w:lineRule="auto"/>
              <w:contextualSpacing/>
              <w:rPr>
                <w:rFonts w:asciiTheme="minorHAnsi" w:hAnsiTheme="minorHAnsi"/>
                <w:sz w:val="22"/>
                <w:szCs w:val="22"/>
              </w:rPr>
            </w:pPr>
            <w:r w:rsidRPr="00F06B95">
              <w:rPr>
                <w:rFonts w:asciiTheme="minorHAnsi" w:hAnsiTheme="minorHAnsi"/>
                <w:sz w:val="22"/>
                <w:szCs w:val="22"/>
              </w:rPr>
              <w:t>+33 (0)1 41 09 22 30</w:t>
            </w:r>
          </w:p>
        </w:tc>
        <w:tc>
          <w:tcPr>
            <w:tcW w:w="3544" w:type="dxa"/>
            <w:tcBorders>
              <w:top w:val="nil"/>
              <w:left w:val="nil"/>
              <w:bottom w:val="nil"/>
              <w:right w:val="nil"/>
            </w:tcBorders>
            <w:shd w:val="clear" w:color="auto" w:fill="auto"/>
            <w:tcMar>
              <w:top w:w="80" w:type="dxa"/>
              <w:left w:w="80" w:type="dxa"/>
              <w:bottom w:w="80" w:type="dxa"/>
              <w:right w:w="80" w:type="dxa"/>
            </w:tcMar>
          </w:tcPr>
          <w:p w14:paraId="62F4F8B4" w14:textId="77777777" w:rsidR="008762D7" w:rsidRPr="00F06B95" w:rsidRDefault="008762D7" w:rsidP="008762D7">
            <w:pPr>
              <w:spacing w:line="276" w:lineRule="auto"/>
              <w:contextualSpacing/>
              <w:rPr>
                <w:rFonts w:asciiTheme="minorHAnsi" w:hAnsiTheme="minorHAnsi"/>
                <w:sz w:val="22"/>
                <w:szCs w:val="22"/>
              </w:rPr>
            </w:pPr>
          </w:p>
        </w:tc>
        <w:tc>
          <w:tcPr>
            <w:tcW w:w="3118" w:type="dxa"/>
            <w:tcBorders>
              <w:top w:val="nil"/>
              <w:left w:val="nil"/>
              <w:bottom w:val="nil"/>
              <w:right w:val="nil"/>
            </w:tcBorders>
          </w:tcPr>
          <w:p w14:paraId="6AF60587" w14:textId="77777777" w:rsidR="008762D7" w:rsidRPr="00F06B95" w:rsidRDefault="008762D7" w:rsidP="008762D7">
            <w:pPr>
              <w:spacing w:line="276" w:lineRule="auto"/>
              <w:contextualSpacing/>
              <w:rPr>
                <w:rFonts w:asciiTheme="minorHAnsi" w:hAnsiTheme="minorHAnsi"/>
                <w:sz w:val="22"/>
                <w:szCs w:val="22"/>
              </w:rPr>
            </w:pPr>
          </w:p>
        </w:tc>
      </w:tr>
      <w:tr w:rsidR="008762D7" w:rsidRPr="00F92301" w14:paraId="10C6DA09" w14:textId="77777777" w:rsidTr="00BC450A">
        <w:trPr>
          <w:trHeight w:val="1474"/>
        </w:trPr>
        <w:tc>
          <w:tcPr>
            <w:tcW w:w="3436" w:type="dxa"/>
            <w:tcBorders>
              <w:top w:val="nil"/>
              <w:left w:val="nil"/>
              <w:bottom w:val="nil"/>
              <w:right w:val="nil"/>
            </w:tcBorders>
            <w:shd w:val="clear" w:color="auto" w:fill="auto"/>
            <w:tcMar>
              <w:top w:w="80" w:type="dxa"/>
              <w:left w:w="80" w:type="dxa"/>
              <w:bottom w:w="80" w:type="dxa"/>
              <w:right w:w="80" w:type="dxa"/>
            </w:tcMar>
          </w:tcPr>
          <w:p w14:paraId="3A24FCE5" w14:textId="77777777" w:rsidR="008762D7" w:rsidRPr="00F06B95" w:rsidRDefault="008762D7" w:rsidP="008762D7">
            <w:pPr>
              <w:spacing w:line="276" w:lineRule="auto"/>
              <w:contextualSpacing/>
              <w:rPr>
                <w:rFonts w:asciiTheme="minorHAnsi" w:hAnsiTheme="minorHAnsi"/>
                <w:b/>
                <w:bCs/>
                <w:sz w:val="22"/>
                <w:szCs w:val="22"/>
              </w:rPr>
            </w:pPr>
            <w:proofErr w:type="spellStart"/>
            <w:r>
              <w:rPr>
                <w:rFonts w:asciiTheme="minorHAnsi" w:hAnsiTheme="minorHAnsi"/>
                <w:b/>
                <w:bCs/>
                <w:sz w:val="22"/>
                <w:szCs w:val="22"/>
              </w:rPr>
              <w:t>Investor</w:t>
            </w:r>
            <w:proofErr w:type="spellEnd"/>
            <w:r>
              <w:rPr>
                <w:rFonts w:asciiTheme="minorHAnsi" w:hAnsiTheme="minorHAnsi"/>
                <w:b/>
                <w:bCs/>
                <w:sz w:val="22"/>
                <w:szCs w:val="22"/>
              </w:rPr>
              <w:t xml:space="preserve"> Relations</w:t>
            </w:r>
            <w:r w:rsidRPr="00F06B95">
              <w:rPr>
                <w:rFonts w:asciiTheme="minorHAnsi" w:hAnsiTheme="minorHAnsi"/>
                <w:b/>
                <w:bCs/>
                <w:sz w:val="22"/>
                <w:szCs w:val="22"/>
              </w:rPr>
              <w:t xml:space="preserve"> (Europe)</w:t>
            </w:r>
          </w:p>
          <w:p w14:paraId="3806C2DF" w14:textId="77777777" w:rsidR="008762D7" w:rsidRPr="00F06B95" w:rsidRDefault="008762D7" w:rsidP="008762D7">
            <w:pPr>
              <w:autoSpaceDE w:val="0"/>
              <w:autoSpaceDN w:val="0"/>
              <w:spacing w:line="276" w:lineRule="auto"/>
              <w:rPr>
                <w:rFonts w:asciiTheme="minorHAnsi" w:hAnsiTheme="minorHAnsi"/>
                <w:sz w:val="22"/>
                <w:szCs w:val="22"/>
              </w:rPr>
            </w:pPr>
            <w:r w:rsidRPr="00F06B95">
              <w:rPr>
                <w:rFonts w:asciiTheme="minorHAnsi" w:hAnsiTheme="minorHAnsi"/>
                <w:bCs/>
                <w:sz w:val="22"/>
                <w:szCs w:val="22"/>
                <w:lang w:eastAsia="de-DE"/>
              </w:rPr>
              <w:t>MC Services AG</w:t>
            </w:r>
          </w:p>
          <w:p w14:paraId="766EAB24" w14:textId="77777777" w:rsidR="008762D7" w:rsidRPr="00F06B95" w:rsidRDefault="008762D7" w:rsidP="008762D7">
            <w:pPr>
              <w:autoSpaceDE w:val="0"/>
              <w:autoSpaceDN w:val="0"/>
              <w:spacing w:line="276" w:lineRule="auto"/>
              <w:rPr>
                <w:rFonts w:asciiTheme="minorHAnsi" w:hAnsiTheme="minorHAnsi"/>
                <w:sz w:val="22"/>
                <w:szCs w:val="22"/>
              </w:rPr>
            </w:pPr>
            <w:r w:rsidRPr="00F06B95">
              <w:rPr>
                <w:rFonts w:asciiTheme="minorHAnsi" w:hAnsiTheme="minorHAnsi"/>
                <w:bCs/>
                <w:sz w:val="22"/>
                <w:szCs w:val="22"/>
                <w:lang w:eastAsia="de-DE"/>
              </w:rPr>
              <w:t>Anne Hennecke</w:t>
            </w:r>
          </w:p>
          <w:p w14:paraId="0EA884E2" w14:textId="77777777" w:rsidR="008762D7" w:rsidRPr="00F06B95" w:rsidRDefault="0007295C" w:rsidP="008762D7">
            <w:pPr>
              <w:spacing w:line="276" w:lineRule="auto"/>
              <w:contextualSpacing/>
              <w:rPr>
                <w:rFonts w:asciiTheme="minorHAnsi" w:hAnsiTheme="minorHAnsi"/>
                <w:color w:val="0563C1"/>
                <w:sz w:val="22"/>
                <w:szCs w:val="22"/>
                <w:u w:val="single" w:color="0563C1"/>
              </w:rPr>
            </w:pPr>
            <w:hyperlink r:id="rId11" w:history="1">
              <w:r w:rsidR="008762D7" w:rsidRPr="00F06B95">
                <w:rPr>
                  <w:rFonts w:asciiTheme="minorHAnsi" w:hAnsiTheme="minorHAnsi"/>
                  <w:color w:val="0563C1"/>
                  <w:sz w:val="22"/>
                  <w:szCs w:val="22"/>
                  <w:u w:val="single" w:color="0563C1"/>
                </w:rPr>
                <w:t>anne.hennecke@mc-services.eu</w:t>
              </w:r>
            </w:hyperlink>
          </w:p>
          <w:p w14:paraId="71FE8EDE" w14:textId="77777777" w:rsidR="008762D7" w:rsidRPr="00F06B95" w:rsidRDefault="008762D7" w:rsidP="008762D7">
            <w:pPr>
              <w:autoSpaceDE w:val="0"/>
              <w:autoSpaceDN w:val="0"/>
              <w:spacing w:line="276" w:lineRule="auto"/>
              <w:rPr>
                <w:rFonts w:asciiTheme="minorHAnsi" w:hAnsiTheme="minorHAnsi"/>
                <w:sz w:val="22"/>
                <w:szCs w:val="22"/>
              </w:rPr>
            </w:pPr>
            <w:r w:rsidRPr="00F06B95">
              <w:rPr>
                <w:rFonts w:asciiTheme="minorHAnsi" w:hAnsiTheme="minorHAnsi"/>
                <w:sz w:val="22"/>
                <w:szCs w:val="22"/>
                <w:lang w:eastAsia="de-DE"/>
              </w:rPr>
              <w:t>+49 211 529252 22</w:t>
            </w:r>
          </w:p>
        </w:tc>
        <w:tc>
          <w:tcPr>
            <w:tcW w:w="3544" w:type="dxa"/>
            <w:tcBorders>
              <w:top w:val="nil"/>
              <w:left w:val="nil"/>
              <w:bottom w:val="nil"/>
              <w:right w:val="nil"/>
            </w:tcBorders>
            <w:shd w:val="clear" w:color="auto" w:fill="auto"/>
            <w:tcMar>
              <w:top w:w="80" w:type="dxa"/>
              <w:left w:w="80" w:type="dxa"/>
              <w:bottom w:w="80" w:type="dxa"/>
              <w:right w:w="80" w:type="dxa"/>
            </w:tcMar>
          </w:tcPr>
          <w:p w14:paraId="4DBBC067" w14:textId="77777777" w:rsidR="008762D7" w:rsidRPr="008762D7" w:rsidRDefault="008762D7" w:rsidP="008762D7">
            <w:pPr>
              <w:spacing w:line="276" w:lineRule="auto"/>
              <w:contextualSpacing/>
              <w:rPr>
                <w:rFonts w:asciiTheme="minorHAnsi" w:hAnsiTheme="minorHAnsi"/>
                <w:b/>
                <w:bCs/>
                <w:sz w:val="22"/>
                <w:szCs w:val="22"/>
                <w:lang w:val="en-US"/>
              </w:rPr>
            </w:pPr>
            <w:r w:rsidRPr="008762D7">
              <w:rPr>
                <w:rFonts w:asciiTheme="minorHAnsi" w:hAnsiTheme="minorHAnsi"/>
                <w:b/>
                <w:bCs/>
                <w:sz w:val="22"/>
                <w:szCs w:val="22"/>
                <w:lang w:val="en-US"/>
              </w:rPr>
              <w:t>Investor Relations (U.S.)</w:t>
            </w:r>
          </w:p>
          <w:p w14:paraId="36D0FCAC" w14:textId="77777777" w:rsidR="008762D7" w:rsidRPr="008762D7" w:rsidRDefault="008762D7" w:rsidP="008762D7">
            <w:pPr>
              <w:spacing w:line="276" w:lineRule="auto"/>
              <w:contextualSpacing/>
              <w:rPr>
                <w:rFonts w:asciiTheme="minorHAnsi" w:hAnsiTheme="minorHAnsi"/>
                <w:sz w:val="22"/>
                <w:szCs w:val="22"/>
                <w:lang w:val="en-US"/>
              </w:rPr>
            </w:pPr>
            <w:r w:rsidRPr="008762D7">
              <w:rPr>
                <w:rFonts w:asciiTheme="minorHAnsi" w:hAnsiTheme="minorHAnsi"/>
                <w:sz w:val="22"/>
                <w:szCs w:val="22"/>
                <w:lang w:val="en-US"/>
              </w:rPr>
              <w:t>Stern Investor Relations, Inc.</w:t>
            </w:r>
          </w:p>
          <w:p w14:paraId="0A7A1061" w14:textId="77777777" w:rsidR="008762D7" w:rsidRPr="0007295C" w:rsidRDefault="008762D7" w:rsidP="008762D7">
            <w:pPr>
              <w:spacing w:line="276" w:lineRule="auto"/>
              <w:contextualSpacing/>
              <w:rPr>
                <w:rFonts w:asciiTheme="minorHAnsi" w:hAnsiTheme="minorHAnsi"/>
                <w:sz w:val="22"/>
                <w:szCs w:val="22"/>
                <w:lang w:val="it-IT"/>
              </w:rPr>
            </w:pPr>
            <w:r w:rsidRPr="0007295C">
              <w:rPr>
                <w:rFonts w:asciiTheme="minorHAnsi" w:hAnsiTheme="minorHAnsi"/>
                <w:lang w:val="it-IT"/>
              </w:rPr>
              <w:t>Sarah McCabe</w:t>
            </w:r>
          </w:p>
          <w:p w14:paraId="07D30E11" w14:textId="77777777" w:rsidR="008762D7" w:rsidRPr="0007295C" w:rsidRDefault="008762D7" w:rsidP="008762D7">
            <w:pPr>
              <w:spacing w:line="276" w:lineRule="auto"/>
              <w:contextualSpacing/>
              <w:rPr>
                <w:rFonts w:asciiTheme="minorHAnsi" w:hAnsiTheme="minorHAnsi"/>
                <w:sz w:val="22"/>
                <w:szCs w:val="22"/>
                <w:lang w:val="it-IT"/>
              </w:rPr>
            </w:pPr>
            <w:r w:rsidRPr="0007295C">
              <w:rPr>
                <w:rFonts w:asciiTheme="minorHAnsi" w:hAnsiTheme="minorHAnsi"/>
                <w:color w:val="0563C1"/>
                <w:u w:val="single" w:color="0563C1"/>
                <w:lang w:val="it-IT"/>
              </w:rPr>
              <w:t>sarah@sternir.com</w:t>
            </w:r>
          </w:p>
          <w:p w14:paraId="46CF57D3" w14:textId="77777777" w:rsidR="008762D7" w:rsidRPr="0007295C" w:rsidRDefault="008762D7" w:rsidP="008762D7">
            <w:pPr>
              <w:spacing w:line="276" w:lineRule="auto"/>
              <w:contextualSpacing/>
              <w:rPr>
                <w:rFonts w:asciiTheme="minorHAnsi" w:hAnsiTheme="minorHAnsi"/>
                <w:sz w:val="22"/>
                <w:szCs w:val="22"/>
                <w:lang w:val="it-IT"/>
              </w:rPr>
            </w:pPr>
            <w:r w:rsidRPr="0007295C">
              <w:rPr>
                <w:rFonts w:asciiTheme="minorHAnsi" w:hAnsiTheme="minorHAnsi"/>
                <w:lang w:val="it-IT"/>
              </w:rPr>
              <w:t>+1 212-362-1200</w:t>
            </w:r>
          </w:p>
        </w:tc>
        <w:tc>
          <w:tcPr>
            <w:tcW w:w="3118" w:type="dxa"/>
            <w:tcBorders>
              <w:top w:val="nil"/>
              <w:left w:val="nil"/>
              <w:bottom w:val="nil"/>
              <w:right w:val="nil"/>
            </w:tcBorders>
          </w:tcPr>
          <w:p w14:paraId="1B691598" w14:textId="77777777" w:rsidR="008762D7" w:rsidRPr="00F06B95" w:rsidRDefault="008762D7" w:rsidP="008762D7">
            <w:pPr>
              <w:spacing w:line="276" w:lineRule="auto"/>
              <w:contextualSpacing/>
              <w:rPr>
                <w:rFonts w:asciiTheme="minorHAnsi" w:hAnsiTheme="minorHAnsi"/>
                <w:b/>
                <w:bCs/>
                <w:sz w:val="22"/>
                <w:szCs w:val="22"/>
              </w:rPr>
            </w:pPr>
            <w:proofErr w:type="spellStart"/>
            <w:r>
              <w:rPr>
                <w:rFonts w:asciiTheme="minorHAnsi" w:hAnsiTheme="minorHAnsi"/>
                <w:b/>
                <w:bCs/>
                <w:sz w:val="22"/>
                <w:szCs w:val="22"/>
              </w:rPr>
              <w:t>Investor</w:t>
            </w:r>
            <w:proofErr w:type="spellEnd"/>
            <w:r>
              <w:rPr>
                <w:rFonts w:asciiTheme="minorHAnsi" w:hAnsiTheme="minorHAnsi"/>
                <w:b/>
                <w:bCs/>
                <w:sz w:val="22"/>
                <w:szCs w:val="22"/>
              </w:rPr>
              <w:t xml:space="preserve"> Relations</w:t>
            </w:r>
            <w:r w:rsidRPr="00F06B95">
              <w:rPr>
                <w:rFonts w:asciiTheme="minorHAnsi" w:hAnsiTheme="minorHAnsi"/>
                <w:b/>
                <w:bCs/>
                <w:sz w:val="22"/>
                <w:szCs w:val="22"/>
              </w:rPr>
              <w:t xml:space="preserve"> (France)</w:t>
            </w:r>
          </w:p>
          <w:p w14:paraId="296E16D3" w14:textId="77777777" w:rsidR="008762D7" w:rsidRPr="00F06B95" w:rsidRDefault="008762D7" w:rsidP="008762D7">
            <w:pPr>
              <w:spacing w:line="276" w:lineRule="auto"/>
              <w:contextualSpacing/>
              <w:rPr>
                <w:rFonts w:asciiTheme="minorHAnsi" w:hAnsiTheme="minorHAnsi"/>
                <w:sz w:val="22"/>
                <w:szCs w:val="22"/>
              </w:rPr>
            </w:pPr>
            <w:proofErr w:type="spellStart"/>
            <w:r w:rsidRPr="00F06B95">
              <w:rPr>
                <w:rFonts w:asciiTheme="minorHAnsi" w:hAnsiTheme="minorHAnsi"/>
                <w:sz w:val="22"/>
                <w:szCs w:val="22"/>
              </w:rPr>
              <w:t>NewCap</w:t>
            </w:r>
            <w:proofErr w:type="spellEnd"/>
          </w:p>
          <w:p w14:paraId="7F6E75BD" w14:textId="77777777" w:rsidR="008762D7" w:rsidRPr="00F06B95" w:rsidRDefault="008762D7" w:rsidP="008762D7">
            <w:pPr>
              <w:spacing w:line="276" w:lineRule="auto"/>
              <w:contextualSpacing/>
              <w:rPr>
                <w:rFonts w:asciiTheme="minorHAnsi" w:hAnsiTheme="minorHAnsi"/>
                <w:sz w:val="22"/>
                <w:szCs w:val="22"/>
              </w:rPr>
            </w:pPr>
            <w:r w:rsidRPr="00F06B95">
              <w:rPr>
                <w:rFonts w:asciiTheme="minorHAnsi" w:hAnsiTheme="minorHAnsi"/>
                <w:sz w:val="22"/>
                <w:szCs w:val="22"/>
              </w:rPr>
              <w:t>Julie Coulot</w:t>
            </w:r>
          </w:p>
          <w:p w14:paraId="4BA7D2BD" w14:textId="77777777" w:rsidR="008762D7" w:rsidRPr="00F06B95" w:rsidRDefault="0007295C" w:rsidP="008762D7">
            <w:pPr>
              <w:spacing w:line="276" w:lineRule="auto"/>
              <w:contextualSpacing/>
              <w:rPr>
                <w:rFonts w:asciiTheme="minorHAnsi" w:hAnsiTheme="minorHAnsi"/>
                <w:color w:val="0563C1"/>
                <w:sz w:val="22"/>
                <w:szCs w:val="22"/>
                <w:u w:val="single" w:color="0563C1"/>
              </w:rPr>
            </w:pPr>
            <w:hyperlink r:id="rId12" w:history="1">
              <w:r w:rsidR="008762D7" w:rsidRPr="00F06B95">
                <w:rPr>
                  <w:rFonts w:asciiTheme="minorHAnsi" w:hAnsiTheme="minorHAnsi"/>
                  <w:color w:val="0563C1"/>
                  <w:sz w:val="22"/>
                  <w:szCs w:val="22"/>
                  <w:u w:val="single" w:color="0563C1"/>
                </w:rPr>
                <w:t>pharnext@newcap.eu</w:t>
              </w:r>
            </w:hyperlink>
            <w:r w:rsidR="008762D7" w:rsidRPr="00F06B95">
              <w:rPr>
                <w:rFonts w:asciiTheme="minorHAnsi" w:hAnsiTheme="minorHAnsi"/>
                <w:color w:val="0563C1"/>
                <w:sz w:val="22"/>
                <w:szCs w:val="22"/>
                <w:u w:val="single" w:color="0563C1"/>
              </w:rPr>
              <w:t xml:space="preserve"> </w:t>
            </w:r>
          </w:p>
          <w:p w14:paraId="004C78E7" w14:textId="77777777" w:rsidR="008762D7" w:rsidRPr="00F06B95" w:rsidRDefault="008762D7" w:rsidP="008762D7">
            <w:pPr>
              <w:spacing w:line="276" w:lineRule="auto"/>
              <w:contextualSpacing/>
              <w:rPr>
                <w:rFonts w:asciiTheme="minorHAnsi" w:hAnsiTheme="minorHAnsi"/>
                <w:b/>
                <w:bCs/>
                <w:sz w:val="22"/>
                <w:szCs w:val="22"/>
              </w:rPr>
            </w:pPr>
            <w:r w:rsidRPr="00F06B95">
              <w:rPr>
                <w:rFonts w:asciiTheme="minorHAnsi" w:hAnsiTheme="minorHAnsi"/>
                <w:bCs/>
                <w:sz w:val="22"/>
                <w:szCs w:val="22"/>
                <w:lang w:eastAsia="de-DE"/>
              </w:rPr>
              <w:t>+33 (0)1 44 71 20 40</w:t>
            </w:r>
          </w:p>
        </w:tc>
      </w:tr>
      <w:tr w:rsidR="008762D7" w:rsidRPr="00F92301" w14:paraId="5F54C8B3" w14:textId="77777777" w:rsidTr="00BC450A">
        <w:trPr>
          <w:trHeight w:val="2123"/>
        </w:trPr>
        <w:tc>
          <w:tcPr>
            <w:tcW w:w="3436" w:type="dxa"/>
            <w:tcBorders>
              <w:top w:val="nil"/>
              <w:left w:val="nil"/>
              <w:bottom w:val="nil"/>
              <w:right w:val="nil"/>
            </w:tcBorders>
            <w:shd w:val="clear" w:color="auto" w:fill="auto"/>
            <w:tcMar>
              <w:top w:w="80" w:type="dxa"/>
              <w:left w:w="80" w:type="dxa"/>
              <w:bottom w:w="80" w:type="dxa"/>
              <w:right w:w="80" w:type="dxa"/>
            </w:tcMar>
          </w:tcPr>
          <w:p w14:paraId="37A753E1" w14:textId="77777777" w:rsidR="008762D7" w:rsidRPr="00F06B95" w:rsidRDefault="008762D7" w:rsidP="008762D7">
            <w:pPr>
              <w:spacing w:line="276" w:lineRule="auto"/>
              <w:contextualSpacing/>
              <w:rPr>
                <w:rFonts w:asciiTheme="minorHAnsi" w:hAnsiTheme="minorHAnsi"/>
                <w:sz w:val="22"/>
                <w:szCs w:val="22"/>
              </w:rPr>
            </w:pPr>
            <w:r>
              <w:rPr>
                <w:rFonts w:asciiTheme="minorHAnsi" w:hAnsiTheme="minorHAnsi"/>
                <w:b/>
                <w:bCs/>
                <w:sz w:val="22"/>
                <w:szCs w:val="22"/>
              </w:rPr>
              <w:t>Media Relations</w:t>
            </w:r>
            <w:r w:rsidRPr="00F06B95">
              <w:rPr>
                <w:rFonts w:asciiTheme="minorHAnsi" w:hAnsiTheme="minorHAnsi"/>
                <w:b/>
                <w:bCs/>
                <w:sz w:val="22"/>
                <w:szCs w:val="22"/>
              </w:rPr>
              <w:t xml:space="preserve"> (Europe)</w:t>
            </w:r>
          </w:p>
          <w:p w14:paraId="2949A0F5" w14:textId="77777777" w:rsidR="008762D7" w:rsidRPr="00F06B95" w:rsidRDefault="008762D7" w:rsidP="008762D7">
            <w:pPr>
              <w:spacing w:line="276" w:lineRule="auto"/>
              <w:contextualSpacing/>
              <w:rPr>
                <w:rFonts w:asciiTheme="minorHAnsi" w:hAnsiTheme="minorHAnsi"/>
                <w:sz w:val="22"/>
                <w:szCs w:val="22"/>
              </w:rPr>
            </w:pPr>
            <w:r w:rsidRPr="00F06B95">
              <w:rPr>
                <w:rFonts w:asciiTheme="minorHAnsi" w:hAnsiTheme="minorHAnsi"/>
                <w:sz w:val="22"/>
                <w:szCs w:val="22"/>
              </w:rPr>
              <w:t>ALIZE RP</w:t>
            </w:r>
          </w:p>
          <w:p w14:paraId="08B0A83B" w14:textId="77777777" w:rsidR="008762D7" w:rsidRPr="00F06B95" w:rsidRDefault="008762D7" w:rsidP="008762D7">
            <w:pPr>
              <w:spacing w:line="276" w:lineRule="auto"/>
              <w:contextualSpacing/>
              <w:rPr>
                <w:rFonts w:asciiTheme="minorHAnsi" w:hAnsiTheme="minorHAnsi"/>
                <w:sz w:val="22"/>
                <w:szCs w:val="22"/>
              </w:rPr>
            </w:pPr>
            <w:r w:rsidRPr="00F06B95">
              <w:rPr>
                <w:rFonts w:asciiTheme="minorHAnsi" w:hAnsiTheme="minorHAnsi"/>
                <w:sz w:val="22"/>
                <w:szCs w:val="22"/>
              </w:rPr>
              <w:t xml:space="preserve">Caroline </w:t>
            </w:r>
            <w:proofErr w:type="spellStart"/>
            <w:r w:rsidRPr="00F06B95">
              <w:rPr>
                <w:rFonts w:asciiTheme="minorHAnsi" w:hAnsiTheme="minorHAnsi"/>
                <w:sz w:val="22"/>
                <w:szCs w:val="22"/>
              </w:rPr>
              <w:t>Carmagnol</w:t>
            </w:r>
            <w:proofErr w:type="spellEnd"/>
          </w:p>
          <w:p w14:paraId="7C328F02" w14:textId="77777777" w:rsidR="008762D7" w:rsidRPr="00F06B95" w:rsidRDefault="008762D7" w:rsidP="008762D7">
            <w:pPr>
              <w:tabs>
                <w:tab w:val="left" w:pos="1355"/>
              </w:tabs>
              <w:spacing w:line="276" w:lineRule="auto"/>
              <w:contextualSpacing/>
              <w:rPr>
                <w:rFonts w:asciiTheme="minorHAnsi" w:hAnsiTheme="minorHAnsi"/>
                <w:sz w:val="22"/>
                <w:szCs w:val="22"/>
              </w:rPr>
            </w:pPr>
            <w:r w:rsidRPr="00F06B95">
              <w:rPr>
                <w:rFonts w:asciiTheme="minorHAnsi" w:hAnsiTheme="minorHAnsi"/>
                <w:sz w:val="22"/>
                <w:szCs w:val="22"/>
              </w:rPr>
              <w:t>Margaux Pronost</w:t>
            </w:r>
          </w:p>
          <w:p w14:paraId="3AA54D0B" w14:textId="77777777" w:rsidR="008762D7" w:rsidRPr="00F06B95" w:rsidRDefault="0007295C" w:rsidP="008762D7">
            <w:pPr>
              <w:spacing w:line="276" w:lineRule="auto"/>
              <w:contextualSpacing/>
              <w:rPr>
                <w:rFonts w:asciiTheme="minorHAnsi" w:hAnsiTheme="minorHAnsi"/>
                <w:sz w:val="22"/>
                <w:szCs w:val="22"/>
              </w:rPr>
            </w:pPr>
            <w:hyperlink r:id="rId13" w:history="1">
              <w:r w:rsidR="008762D7" w:rsidRPr="00F06B95">
                <w:rPr>
                  <w:rFonts w:asciiTheme="minorHAnsi" w:hAnsiTheme="minorHAnsi"/>
                  <w:color w:val="0563C1"/>
                  <w:sz w:val="22"/>
                  <w:szCs w:val="22"/>
                  <w:u w:val="single" w:color="0563C1"/>
                </w:rPr>
                <w:t>pharnext@alizerp.com</w:t>
              </w:r>
            </w:hyperlink>
            <w:r w:rsidR="008762D7" w:rsidRPr="00F06B95">
              <w:rPr>
                <w:rFonts w:asciiTheme="minorHAnsi" w:hAnsiTheme="minorHAnsi"/>
                <w:sz w:val="22"/>
                <w:szCs w:val="22"/>
              </w:rPr>
              <w:t xml:space="preserve"> </w:t>
            </w:r>
          </w:p>
          <w:p w14:paraId="728968A6" w14:textId="77777777" w:rsidR="008762D7" w:rsidRPr="00F06B95" w:rsidRDefault="008762D7" w:rsidP="008762D7">
            <w:pPr>
              <w:spacing w:line="276" w:lineRule="auto"/>
              <w:contextualSpacing/>
              <w:rPr>
                <w:rFonts w:asciiTheme="minorHAnsi" w:hAnsiTheme="minorHAnsi"/>
                <w:sz w:val="22"/>
                <w:szCs w:val="22"/>
              </w:rPr>
            </w:pPr>
            <w:r w:rsidRPr="00F06B95">
              <w:rPr>
                <w:rFonts w:asciiTheme="minorHAnsi" w:hAnsiTheme="minorHAnsi"/>
                <w:sz w:val="22"/>
                <w:szCs w:val="22"/>
              </w:rPr>
              <w:t>+33 (0)1 44 54 36 64</w:t>
            </w:r>
          </w:p>
          <w:p w14:paraId="1C80975A" w14:textId="77777777" w:rsidR="008762D7" w:rsidRPr="00F06B95" w:rsidRDefault="008762D7" w:rsidP="008762D7">
            <w:pPr>
              <w:spacing w:line="276" w:lineRule="auto"/>
              <w:contextualSpacing/>
              <w:rPr>
                <w:rFonts w:asciiTheme="minorHAnsi" w:hAnsiTheme="minorHAnsi"/>
                <w:sz w:val="22"/>
                <w:szCs w:val="22"/>
              </w:rPr>
            </w:pPr>
          </w:p>
          <w:p w14:paraId="0C3B12AB" w14:textId="77777777" w:rsidR="008762D7" w:rsidRPr="00F06B95" w:rsidRDefault="008762D7" w:rsidP="008762D7">
            <w:pPr>
              <w:autoSpaceDE w:val="0"/>
              <w:autoSpaceDN w:val="0"/>
              <w:spacing w:line="276" w:lineRule="auto"/>
              <w:rPr>
                <w:rFonts w:asciiTheme="minorHAnsi" w:hAnsiTheme="minorHAnsi"/>
                <w:sz w:val="22"/>
                <w:szCs w:val="22"/>
              </w:rPr>
            </w:pPr>
          </w:p>
        </w:tc>
        <w:tc>
          <w:tcPr>
            <w:tcW w:w="6662" w:type="dxa"/>
            <w:gridSpan w:val="2"/>
            <w:tcBorders>
              <w:top w:val="nil"/>
              <w:left w:val="nil"/>
              <w:bottom w:val="nil"/>
              <w:right w:val="nil"/>
            </w:tcBorders>
            <w:shd w:val="clear" w:color="auto" w:fill="auto"/>
            <w:tcMar>
              <w:top w:w="80" w:type="dxa"/>
              <w:left w:w="80" w:type="dxa"/>
              <w:bottom w:w="80" w:type="dxa"/>
              <w:right w:w="80" w:type="dxa"/>
            </w:tcMar>
          </w:tcPr>
          <w:p w14:paraId="5147DBB9" w14:textId="77777777" w:rsidR="008762D7" w:rsidRPr="008762D7" w:rsidRDefault="008762D7" w:rsidP="008762D7">
            <w:pPr>
              <w:spacing w:line="276" w:lineRule="auto"/>
              <w:contextualSpacing/>
              <w:rPr>
                <w:rFonts w:asciiTheme="minorHAnsi" w:hAnsiTheme="minorHAnsi"/>
                <w:b/>
                <w:bCs/>
                <w:sz w:val="22"/>
                <w:szCs w:val="22"/>
                <w:lang w:val="en-US"/>
              </w:rPr>
            </w:pPr>
            <w:r w:rsidRPr="00FF6FB0">
              <w:rPr>
                <w:rFonts w:asciiTheme="minorHAnsi" w:hAnsiTheme="minorHAnsi"/>
                <w:b/>
                <w:bCs/>
                <w:lang w:val="en-US"/>
              </w:rPr>
              <w:t xml:space="preserve">Media Relations </w:t>
            </w:r>
            <w:r w:rsidRPr="008762D7">
              <w:rPr>
                <w:rFonts w:asciiTheme="minorHAnsi" w:hAnsiTheme="minorHAnsi"/>
                <w:b/>
                <w:bCs/>
                <w:sz w:val="22"/>
                <w:szCs w:val="22"/>
                <w:lang w:val="en-US"/>
              </w:rPr>
              <w:t>(U.S.)</w:t>
            </w:r>
          </w:p>
          <w:p w14:paraId="4CC52B7D" w14:textId="77777777" w:rsidR="008762D7" w:rsidRPr="00F81D5A" w:rsidRDefault="008762D7" w:rsidP="008762D7">
            <w:pPr>
              <w:spacing w:line="276" w:lineRule="auto"/>
              <w:contextualSpacing/>
              <w:rPr>
                <w:rFonts w:asciiTheme="minorHAnsi" w:hAnsiTheme="minorHAnsi"/>
                <w:sz w:val="22"/>
                <w:szCs w:val="22"/>
                <w:lang w:val="en-US"/>
              </w:rPr>
            </w:pPr>
            <w:r w:rsidRPr="00F81D5A">
              <w:rPr>
                <w:rFonts w:asciiTheme="minorHAnsi" w:hAnsiTheme="minorHAnsi"/>
                <w:sz w:val="22"/>
                <w:szCs w:val="22"/>
                <w:lang w:val="en-US"/>
              </w:rPr>
              <w:t>Russo Partners</w:t>
            </w:r>
          </w:p>
          <w:p w14:paraId="432227BC" w14:textId="11429E44" w:rsidR="008762D7" w:rsidRPr="00F81D5A" w:rsidRDefault="0007295C" w:rsidP="008762D7">
            <w:pPr>
              <w:spacing w:line="276" w:lineRule="auto"/>
              <w:contextualSpacing/>
              <w:rPr>
                <w:rFonts w:asciiTheme="minorHAnsi" w:hAnsiTheme="minorHAnsi"/>
                <w:sz w:val="22"/>
                <w:szCs w:val="22"/>
                <w:lang w:val="en-US"/>
              </w:rPr>
            </w:pPr>
            <w:r>
              <w:rPr>
                <w:rFonts w:asciiTheme="minorHAnsi" w:hAnsiTheme="minorHAnsi"/>
                <w:sz w:val="22"/>
                <w:szCs w:val="22"/>
                <w:lang w:val="en-US"/>
              </w:rPr>
              <w:t>Tony Russo</w:t>
            </w:r>
            <w:bookmarkStart w:id="0" w:name="_GoBack"/>
            <w:bookmarkEnd w:id="0"/>
          </w:p>
          <w:p w14:paraId="105B4286" w14:textId="0EB9C5B2" w:rsidR="008762D7" w:rsidRPr="00F81D5A" w:rsidRDefault="00A702C1" w:rsidP="008762D7">
            <w:pPr>
              <w:spacing w:line="276" w:lineRule="auto"/>
              <w:contextualSpacing/>
              <w:rPr>
                <w:rFonts w:asciiTheme="minorHAnsi" w:hAnsiTheme="minorHAnsi"/>
                <w:sz w:val="22"/>
                <w:szCs w:val="22"/>
                <w:lang w:val="en-US"/>
              </w:rPr>
            </w:pPr>
            <w:r w:rsidRPr="00F81D5A">
              <w:rPr>
                <w:rFonts w:asciiTheme="minorHAnsi" w:hAnsiTheme="minorHAnsi"/>
                <w:sz w:val="22"/>
                <w:szCs w:val="22"/>
                <w:lang w:val="en-US"/>
              </w:rPr>
              <w:t xml:space="preserve">Scott </w:t>
            </w:r>
            <w:proofErr w:type="spellStart"/>
            <w:r w:rsidRPr="00F81D5A">
              <w:rPr>
                <w:rFonts w:asciiTheme="minorHAnsi" w:hAnsiTheme="minorHAnsi"/>
                <w:sz w:val="22"/>
                <w:szCs w:val="22"/>
                <w:lang w:val="en-US"/>
              </w:rPr>
              <w:t>Santiamo</w:t>
            </w:r>
            <w:proofErr w:type="spellEnd"/>
          </w:p>
          <w:p w14:paraId="1813BF63" w14:textId="7AA9116A" w:rsidR="008762D7" w:rsidRPr="00F81D5A" w:rsidRDefault="0007295C" w:rsidP="008762D7">
            <w:pPr>
              <w:spacing w:line="276" w:lineRule="auto"/>
              <w:contextualSpacing/>
              <w:rPr>
                <w:rFonts w:asciiTheme="minorHAnsi" w:hAnsiTheme="minorHAnsi"/>
                <w:color w:val="0563C1"/>
                <w:sz w:val="22"/>
                <w:szCs w:val="22"/>
                <w:u w:val="single" w:color="0563C1"/>
                <w:lang w:val="en-US"/>
              </w:rPr>
            </w:pPr>
            <w:hyperlink r:id="rId14" w:history="1">
              <w:r w:rsidR="007949E1" w:rsidRPr="00F81D5A">
                <w:rPr>
                  <w:rStyle w:val="Lienhypertexte"/>
                  <w:sz w:val="22"/>
                  <w:szCs w:val="22"/>
                  <w:lang w:val="en-US"/>
                </w:rPr>
                <w:t>tony.russo@russopartnersllc.com</w:t>
              </w:r>
            </w:hyperlink>
            <w:r w:rsidR="007949E1" w:rsidRPr="00F81D5A">
              <w:rPr>
                <w:sz w:val="22"/>
                <w:szCs w:val="22"/>
                <w:lang w:val="en-US"/>
              </w:rPr>
              <w:t xml:space="preserve">      </w:t>
            </w:r>
          </w:p>
          <w:p w14:paraId="48A1EEFD" w14:textId="0B16668B" w:rsidR="008762D7" w:rsidRPr="00F81D5A" w:rsidRDefault="007949E1" w:rsidP="008762D7">
            <w:pPr>
              <w:spacing w:line="276" w:lineRule="auto"/>
              <w:contextualSpacing/>
              <w:rPr>
                <w:rFonts w:asciiTheme="minorHAnsi" w:hAnsiTheme="minorHAnsi"/>
                <w:sz w:val="22"/>
                <w:szCs w:val="22"/>
                <w:highlight w:val="yellow"/>
                <w:lang w:val="en-US"/>
              </w:rPr>
            </w:pPr>
            <w:r w:rsidRPr="00F81D5A">
              <w:rPr>
                <w:rFonts w:asciiTheme="minorHAnsi" w:hAnsiTheme="minorHAnsi"/>
                <w:color w:val="0563C1"/>
                <w:sz w:val="22"/>
                <w:szCs w:val="22"/>
                <w:u w:val="single" w:color="0563C1"/>
                <w:lang w:val="en-US"/>
              </w:rPr>
              <w:t>s</w:t>
            </w:r>
            <w:r w:rsidR="006A0BC6" w:rsidRPr="00F81D5A">
              <w:rPr>
                <w:rFonts w:asciiTheme="minorHAnsi" w:hAnsiTheme="minorHAnsi"/>
                <w:color w:val="0563C1"/>
                <w:sz w:val="22"/>
                <w:szCs w:val="22"/>
                <w:u w:val="single" w:color="0563C1"/>
                <w:lang w:val="en-US"/>
              </w:rPr>
              <w:t>cott.Santiamo@russopartnersllc.com</w:t>
            </w:r>
            <w:r w:rsidR="00DE4B90" w:rsidRPr="00F81D5A">
              <w:fldChar w:fldCharType="begin"/>
            </w:r>
            <w:r w:rsidR="00DE4B90" w:rsidRPr="00F81D5A">
              <w:fldChar w:fldCharType="separate"/>
            </w:r>
            <w:r w:rsidR="008762D7" w:rsidRPr="00F81D5A">
              <w:rPr>
                <w:rStyle w:val="Lienhypertexte"/>
                <w:rFonts w:asciiTheme="minorHAnsi" w:hAnsiTheme="minorHAnsi"/>
                <w:sz w:val="22"/>
                <w:szCs w:val="22"/>
                <w:highlight w:val="yellow"/>
                <w:lang w:val="en-US"/>
              </w:rPr>
              <w:t>victoria.meissner@russopartnersllc.com</w:t>
            </w:r>
            <w:r w:rsidR="00DE4B90" w:rsidRPr="00F81D5A">
              <w:rPr>
                <w:rStyle w:val="Lienhypertexte"/>
                <w:rFonts w:asciiTheme="minorHAnsi" w:hAnsiTheme="minorHAnsi"/>
                <w:highlight w:val="yellow"/>
              </w:rPr>
              <w:fldChar w:fldCharType="end"/>
            </w:r>
          </w:p>
          <w:p w14:paraId="075A3854" w14:textId="77777777" w:rsidR="008762D7" w:rsidRPr="00F81D5A" w:rsidRDefault="008762D7" w:rsidP="008762D7">
            <w:pPr>
              <w:spacing w:line="276" w:lineRule="auto"/>
              <w:contextualSpacing/>
              <w:rPr>
                <w:rFonts w:asciiTheme="minorHAnsi" w:hAnsiTheme="minorHAnsi"/>
                <w:sz w:val="22"/>
                <w:szCs w:val="22"/>
                <w:lang w:val="en-US"/>
              </w:rPr>
            </w:pPr>
            <w:r w:rsidRPr="00F81D5A">
              <w:rPr>
                <w:rFonts w:asciiTheme="minorHAnsi" w:hAnsiTheme="minorHAnsi"/>
                <w:sz w:val="22"/>
                <w:szCs w:val="22"/>
                <w:lang w:val="en-US"/>
              </w:rPr>
              <w:t>+1 212-845-4251</w:t>
            </w:r>
          </w:p>
          <w:p w14:paraId="2B2FAEE1" w14:textId="07E2079F" w:rsidR="008762D7" w:rsidRPr="007949E1" w:rsidRDefault="008762D7" w:rsidP="008762D7">
            <w:pPr>
              <w:spacing w:line="276" w:lineRule="auto"/>
              <w:contextualSpacing/>
              <w:rPr>
                <w:rFonts w:asciiTheme="minorHAnsi" w:hAnsiTheme="minorHAnsi"/>
                <w:b/>
                <w:bCs/>
                <w:sz w:val="22"/>
                <w:szCs w:val="22"/>
                <w:lang w:val="en-US"/>
              </w:rPr>
            </w:pPr>
            <w:r w:rsidRPr="00F81D5A">
              <w:rPr>
                <w:rFonts w:asciiTheme="minorHAnsi" w:hAnsiTheme="minorHAnsi"/>
                <w:sz w:val="22"/>
                <w:szCs w:val="22"/>
                <w:lang w:val="en-US"/>
              </w:rPr>
              <w:t xml:space="preserve">+1 </w:t>
            </w:r>
            <w:r w:rsidR="00A702C1" w:rsidRPr="00F81D5A">
              <w:rPr>
                <w:rFonts w:asciiTheme="minorHAnsi" w:hAnsiTheme="minorHAnsi"/>
                <w:sz w:val="22"/>
                <w:szCs w:val="22"/>
                <w:lang w:val="en-US"/>
              </w:rPr>
              <w:t>212-845-4235</w:t>
            </w:r>
          </w:p>
        </w:tc>
      </w:tr>
    </w:tbl>
    <w:p w14:paraId="52A4687F" w14:textId="77777777" w:rsidR="003F254F" w:rsidRPr="000A44C9" w:rsidRDefault="003F254F">
      <w:pPr>
        <w:rPr>
          <w:rFonts w:asciiTheme="majorHAnsi" w:hAnsiTheme="majorHAnsi" w:cstheme="majorHAnsi"/>
          <w:b/>
        </w:rPr>
      </w:pPr>
    </w:p>
    <w:sectPr w:rsidR="003F254F" w:rsidRPr="000A44C9" w:rsidSect="00B75867">
      <w:headerReference w:type="default" r:id="rId15"/>
      <w:footerReference w:type="default" r:id="rId16"/>
      <w:headerReference w:type="first" r:id="rId17"/>
      <w:pgSz w:w="12240" w:h="15840"/>
      <w:pgMar w:top="1138" w:right="1138" w:bottom="1008" w:left="1138"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D34CA" w14:textId="77777777" w:rsidR="000B23FF" w:rsidRDefault="000B23FF">
      <w:pPr>
        <w:spacing w:after="0" w:line="240" w:lineRule="auto"/>
      </w:pPr>
      <w:r>
        <w:separator/>
      </w:r>
    </w:p>
  </w:endnote>
  <w:endnote w:type="continuationSeparator" w:id="0">
    <w:p w14:paraId="0681948C" w14:textId="77777777" w:rsidR="000B23FF" w:rsidRDefault="000B23FF">
      <w:pPr>
        <w:spacing w:after="0" w:line="240" w:lineRule="auto"/>
      </w:pPr>
      <w:r>
        <w:continuationSeparator/>
      </w:r>
    </w:p>
  </w:endnote>
  <w:endnote w:type="continuationNotice" w:id="1">
    <w:p w14:paraId="27E901E4" w14:textId="77777777" w:rsidR="000B23FF" w:rsidRDefault="000B2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ueHaasGroteskDisp Pro Lt">
    <w:altName w:val="Segoe Script"/>
    <w:charset w:val="00"/>
    <w:family w:val="swiss"/>
    <w:pitch w:val="variable"/>
    <w:sig w:usb0="00000001" w:usb1="500024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NeueHaasGroteskText Pro">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4905" w14:textId="77777777" w:rsidR="006C0B93" w:rsidRDefault="006C0B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1FE3B" w14:textId="77777777" w:rsidR="000B23FF" w:rsidRDefault="000B23FF">
      <w:pPr>
        <w:spacing w:after="0" w:line="240" w:lineRule="auto"/>
      </w:pPr>
      <w:r>
        <w:separator/>
      </w:r>
    </w:p>
  </w:footnote>
  <w:footnote w:type="continuationSeparator" w:id="0">
    <w:p w14:paraId="5D73338A" w14:textId="77777777" w:rsidR="000B23FF" w:rsidRDefault="000B23FF">
      <w:pPr>
        <w:spacing w:after="0" w:line="240" w:lineRule="auto"/>
      </w:pPr>
      <w:r>
        <w:continuationSeparator/>
      </w:r>
    </w:p>
  </w:footnote>
  <w:footnote w:type="continuationNotice" w:id="1">
    <w:p w14:paraId="6E49E12A" w14:textId="77777777" w:rsidR="000B23FF" w:rsidRDefault="000B2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3E80" w14:textId="77777777" w:rsidR="003F254F" w:rsidRDefault="0007295C">
    <w:pPr>
      <w:pStyle w:val="Normal1"/>
      <w:widowControl w:val="0"/>
      <w:spacing w:after="0" w:line="276" w:lineRule="auto"/>
    </w:pPr>
    <w:hyperlink r:id="rId1"/>
  </w:p>
  <w:tbl>
    <w:tblPr>
      <w:tblW w:w="10488" w:type="dxa"/>
      <w:tblInd w:w="-115" w:type="dxa"/>
      <w:tblBorders>
        <w:insideH w:val="single" w:sz="8" w:space="0" w:color="164884"/>
      </w:tblBorders>
      <w:tblLayout w:type="fixed"/>
      <w:tblLook w:val="0400" w:firstRow="0" w:lastRow="0" w:firstColumn="0" w:lastColumn="0" w:noHBand="0" w:noVBand="1"/>
    </w:tblPr>
    <w:tblGrid>
      <w:gridCol w:w="3207"/>
      <w:gridCol w:w="3686"/>
      <w:gridCol w:w="3595"/>
    </w:tblGrid>
    <w:tr w:rsidR="003F254F" w14:paraId="545883EA" w14:textId="77777777" w:rsidTr="003F254F">
      <w:trPr>
        <w:trHeight w:val="140"/>
      </w:trPr>
      <w:tc>
        <w:tcPr>
          <w:tcW w:w="3207" w:type="dxa"/>
        </w:tcPr>
        <w:p w14:paraId="4D3BA0BC" w14:textId="77777777" w:rsidR="003F254F" w:rsidRDefault="0007295C">
          <w:pPr>
            <w:pStyle w:val="Normal1"/>
            <w:tabs>
              <w:tab w:val="center" w:pos="4536"/>
              <w:tab w:val="right" w:pos="9072"/>
            </w:tabs>
            <w:spacing w:before="720" w:after="0" w:line="240" w:lineRule="auto"/>
          </w:pPr>
          <w:hyperlink r:id="rId2"/>
        </w:p>
      </w:tc>
      <w:tc>
        <w:tcPr>
          <w:tcW w:w="3686" w:type="dxa"/>
          <w:vAlign w:val="center"/>
        </w:tcPr>
        <w:p w14:paraId="039221A5" w14:textId="77777777" w:rsidR="003F254F" w:rsidRDefault="003F254F">
          <w:pPr>
            <w:pStyle w:val="Normal1"/>
            <w:spacing w:before="720" w:after="0" w:line="240" w:lineRule="auto"/>
            <w:jc w:val="center"/>
          </w:pPr>
          <w:r>
            <w:rPr>
              <w:b/>
              <w:bCs/>
              <w:color w:val="323796"/>
              <w:sz w:val="20"/>
              <w:szCs w:val="20"/>
              <w:lang w:val="en-GB"/>
            </w:rPr>
            <w:t>PHARNEXT | THE NEXT MEDICINE</w:t>
          </w:r>
        </w:p>
      </w:tc>
      <w:tc>
        <w:tcPr>
          <w:tcW w:w="3595" w:type="dxa"/>
        </w:tcPr>
        <w:p w14:paraId="18216626" w14:textId="77777777" w:rsidR="003F254F" w:rsidRDefault="003F254F">
          <w:pPr>
            <w:pStyle w:val="Normal1"/>
            <w:tabs>
              <w:tab w:val="center" w:pos="4536"/>
              <w:tab w:val="right" w:pos="9072"/>
            </w:tabs>
            <w:spacing w:before="720" w:after="0" w:line="240" w:lineRule="auto"/>
          </w:pPr>
        </w:p>
      </w:tc>
    </w:tr>
  </w:tbl>
  <w:p w14:paraId="62C9861E" w14:textId="77777777" w:rsidR="003F254F" w:rsidRDefault="003F254F">
    <w:pPr>
      <w:pStyle w:val="Normal1"/>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93E4" w14:textId="77777777" w:rsidR="003F254F" w:rsidRDefault="003F254F">
    <w:pPr>
      <w:pStyle w:val="Normal1"/>
      <w:tabs>
        <w:tab w:val="center" w:pos="4536"/>
        <w:tab w:val="right" w:pos="9072"/>
      </w:tabs>
      <w:spacing w:before="720" w:after="0" w:line="240" w:lineRule="auto"/>
    </w:pPr>
    <w:r>
      <w:rPr>
        <w:noProof/>
        <w:lang w:val="fr-FR" w:eastAsia="fr-FR"/>
      </w:rPr>
      <w:drawing>
        <wp:anchor distT="0" distB="0" distL="114300" distR="114300" simplePos="0" relativeHeight="251660288" behindDoc="0" locked="0" layoutInCell="0" hidden="0" allowOverlap="1" wp14:anchorId="07874BD4" wp14:editId="6C74B05F">
          <wp:simplePos x="0" y="0"/>
          <wp:positionH relativeFrom="margin">
            <wp:posOffset>2139315</wp:posOffset>
          </wp:positionH>
          <wp:positionV relativeFrom="paragraph">
            <wp:posOffset>152400</wp:posOffset>
          </wp:positionV>
          <wp:extent cx="1969135" cy="580390"/>
          <wp:effectExtent l="0" t="0" r="0" b="0"/>
          <wp:wrapSquare wrapText="bothSides" distT="0" distB="0" distL="114300" distR="114300"/>
          <wp:docPr id="1" name="image02.png" descr="Pharnext logo small.jpg"/>
          <wp:cNvGraphicFramePr/>
          <a:graphic xmlns:a="http://schemas.openxmlformats.org/drawingml/2006/main">
            <a:graphicData uri="http://schemas.openxmlformats.org/drawingml/2006/picture">
              <pic:pic xmlns:pic="http://schemas.openxmlformats.org/drawingml/2006/picture">
                <pic:nvPicPr>
                  <pic:cNvPr id="0" name="image02.png" descr="Pharnext logo small.jpg"/>
                  <pic:cNvPicPr preferRelativeResize="0"/>
                </pic:nvPicPr>
                <pic:blipFill>
                  <a:blip r:embed="rId1"/>
                  <a:srcRect/>
                  <a:stretch>
                    <a:fillRect/>
                  </a:stretch>
                </pic:blipFill>
                <pic:spPr>
                  <a:xfrm>
                    <a:off x="0" y="0"/>
                    <a:ext cx="1969135" cy="580390"/>
                  </a:xfrm>
                  <a:prstGeom prst="rect">
                    <a:avLst/>
                  </a:prstGeom>
                  <a:ln/>
                </pic:spPr>
              </pic:pic>
            </a:graphicData>
          </a:graphic>
        </wp:anchor>
      </w:drawing>
    </w:r>
    <w:r>
      <w:rPr>
        <w:noProof/>
        <w:lang w:val="fr-FR" w:eastAsia="fr-FR"/>
      </w:rPr>
      <w:drawing>
        <wp:anchor distT="0" distB="1143" distL="114300" distR="114300" simplePos="0" relativeHeight="251659264" behindDoc="0" locked="0" layoutInCell="0" hidden="0" allowOverlap="1" wp14:anchorId="539F1ABB" wp14:editId="19D15945">
          <wp:simplePos x="0" y="0"/>
          <wp:positionH relativeFrom="margin">
            <wp:posOffset>-914399</wp:posOffset>
          </wp:positionH>
          <wp:positionV relativeFrom="paragraph">
            <wp:posOffset>-459739</wp:posOffset>
          </wp:positionV>
          <wp:extent cx="7559675" cy="1144905"/>
          <wp:effectExtent l="0" t="0" r="0" b="0"/>
          <wp:wrapSquare wrapText="bothSides" distT="0" distB="1143" distL="114300" distR="114300"/>
          <wp:docPr id="2" name="image03.png" descr="http://www.overturenetworks.com/wp-content/uploads/2015/04/overture-networks-what-is-nfv.png"/>
          <wp:cNvGraphicFramePr/>
          <a:graphic xmlns:a="http://schemas.openxmlformats.org/drawingml/2006/main">
            <a:graphicData uri="http://schemas.openxmlformats.org/drawingml/2006/picture">
              <pic:pic xmlns:pic="http://schemas.openxmlformats.org/drawingml/2006/picture">
                <pic:nvPicPr>
                  <pic:cNvPr id="0" name="image03.png" descr="http://www.overturenetworks.com/wp-content/uploads/2015/04/overture-networks-what-is-nfv.png"/>
                  <pic:cNvPicPr preferRelativeResize="0"/>
                </pic:nvPicPr>
                <pic:blipFill>
                  <a:blip r:embed="rId2"/>
                  <a:srcRect l="14056" t="22341" b="45464"/>
                  <a:stretch>
                    <a:fillRect/>
                  </a:stretch>
                </pic:blipFill>
                <pic:spPr>
                  <a:xfrm>
                    <a:off x="0" y="0"/>
                    <a:ext cx="7559675" cy="1144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967"/>
    <w:multiLevelType w:val="hybridMultilevel"/>
    <w:tmpl w:val="D9B44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2140B4"/>
    <w:multiLevelType w:val="hybridMultilevel"/>
    <w:tmpl w:val="FBA6D720"/>
    <w:lvl w:ilvl="0" w:tplc="7EE6A2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04059"/>
    <w:multiLevelType w:val="hybridMultilevel"/>
    <w:tmpl w:val="27E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C4C63"/>
    <w:multiLevelType w:val="hybridMultilevel"/>
    <w:tmpl w:val="A8EAB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32975"/>
    <w:multiLevelType w:val="hybridMultilevel"/>
    <w:tmpl w:val="BAA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AE"/>
    <w:rsid w:val="000203D7"/>
    <w:rsid w:val="00024B6B"/>
    <w:rsid w:val="00036160"/>
    <w:rsid w:val="000413B1"/>
    <w:rsid w:val="0004530F"/>
    <w:rsid w:val="00064854"/>
    <w:rsid w:val="0007295C"/>
    <w:rsid w:val="000931BB"/>
    <w:rsid w:val="000A44C9"/>
    <w:rsid w:val="000A557B"/>
    <w:rsid w:val="000A5DD2"/>
    <w:rsid w:val="000B105D"/>
    <w:rsid w:val="000B23FF"/>
    <w:rsid w:val="000B2E00"/>
    <w:rsid w:val="000D357B"/>
    <w:rsid w:val="000D65B8"/>
    <w:rsid w:val="000E2F1A"/>
    <w:rsid w:val="000F29B1"/>
    <w:rsid w:val="000F34FB"/>
    <w:rsid w:val="00116D8B"/>
    <w:rsid w:val="001306C1"/>
    <w:rsid w:val="00130830"/>
    <w:rsid w:val="00133A38"/>
    <w:rsid w:val="00153596"/>
    <w:rsid w:val="00155D04"/>
    <w:rsid w:val="00165692"/>
    <w:rsid w:val="00174719"/>
    <w:rsid w:val="001A2B24"/>
    <w:rsid w:val="001A71A7"/>
    <w:rsid w:val="001B382B"/>
    <w:rsid w:val="001B7C51"/>
    <w:rsid w:val="001C5593"/>
    <w:rsid w:val="001D4DD5"/>
    <w:rsid w:val="001E62E5"/>
    <w:rsid w:val="001F15D5"/>
    <w:rsid w:val="001F6000"/>
    <w:rsid w:val="001F7AE8"/>
    <w:rsid w:val="00206EF9"/>
    <w:rsid w:val="002122A5"/>
    <w:rsid w:val="002174AF"/>
    <w:rsid w:val="00233230"/>
    <w:rsid w:val="00242E3B"/>
    <w:rsid w:val="002A6013"/>
    <w:rsid w:val="002A755D"/>
    <w:rsid w:val="002B21D5"/>
    <w:rsid w:val="002B26FC"/>
    <w:rsid w:val="002B2A5F"/>
    <w:rsid w:val="002B3B74"/>
    <w:rsid w:val="002B5E39"/>
    <w:rsid w:val="002C4236"/>
    <w:rsid w:val="002D40C6"/>
    <w:rsid w:val="002F3F2C"/>
    <w:rsid w:val="002F74A9"/>
    <w:rsid w:val="003051BB"/>
    <w:rsid w:val="00323310"/>
    <w:rsid w:val="003261DE"/>
    <w:rsid w:val="003272A0"/>
    <w:rsid w:val="003362DC"/>
    <w:rsid w:val="00340A59"/>
    <w:rsid w:val="00363409"/>
    <w:rsid w:val="003758B4"/>
    <w:rsid w:val="00376125"/>
    <w:rsid w:val="003802D8"/>
    <w:rsid w:val="00382D26"/>
    <w:rsid w:val="00384309"/>
    <w:rsid w:val="003D53CF"/>
    <w:rsid w:val="003F254F"/>
    <w:rsid w:val="003F3FA4"/>
    <w:rsid w:val="004000D8"/>
    <w:rsid w:val="00407825"/>
    <w:rsid w:val="004115F0"/>
    <w:rsid w:val="004155E3"/>
    <w:rsid w:val="00416475"/>
    <w:rsid w:val="004521EE"/>
    <w:rsid w:val="00461CAC"/>
    <w:rsid w:val="00462ED8"/>
    <w:rsid w:val="00481195"/>
    <w:rsid w:val="00493478"/>
    <w:rsid w:val="004A1F9D"/>
    <w:rsid w:val="004A5A27"/>
    <w:rsid w:val="004B5B8D"/>
    <w:rsid w:val="004B5E08"/>
    <w:rsid w:val="004C3E23"/>
    <w:rsid w:val="004D3BE4"/>
    <w:rsid w:val="004E1B30"/>
    <w:rsid w:val="004F7B50"/>
    <w:rsid w:val="0050568C"/>
    <w:rsid w:val="00515034"/>
    <w:rsid w:val="005306C9"/>
    <w:rsid w:val="00534795"/>
    <w:rsid w:val="00543ED0"/>
    <w:rsid w:val="00546B2A"/>
    <w:rsid w:val="00564DA3"/>
    <w:rsid w:val="005777B6"/>
    <w:rsid w:val="00584305"/>
    <w:rsid w:val="005942FC"/>
    <w:rsid w:val="005C11C5"/>
    <w:rsid w:val="005D3799"/>
    <w:rsid w:val="005E27CD"/>
    <w:rsid w:val="005F12CD"/>
    <w:rsid w:val="005F1C4D"/>
    <w:rsid w:val="005F6D06"/>
    <w:rsid w:val="006016F4"/>
    <w:rsid w:val="00623044"/>
    <w:rsid w:val="006300CB"/>
    <w:rsid w:val="00636F4B"/>
    <w:rsid w:val="0064001C"/>
    <w:rsid w:val="00642395"/>
    <w:rsid w:val="0064668B"/>
    <w:rsid w:val="00676AAA"/>
    <w:rsid w:val="00696269"/>
    <w:rsid w:val="006965E3"/>
    <w:rsid w:val="006A0BC6"/>
    <w:rsid w:val="006A14FD"/>
    <w:rsid w:val="006C0B93"/>
    <w:rsid w:val="006C4C73"/>
    <w:rsid w:val="006E0B5D"/>
    <w:rsid w:val="00704AA6"/>
    <w:rsid w:val="00706099"/>
    <w:rsid w:val="0071307F"/>
    <w:rsid w:val="00713661"/>
    <w:rsid w:val="0074141C"/>
    <w:rsid w:val="00746145"/>
    <w:rsid w:val="00753347"/>
    <w:rsid w:val="007534C1"/>
    <w:rsid w:val="007562A1"/>
    <w:rsid w:val="007633CD"/>
    <w:rsid w:val="00764CAC"/>
    <w:rsid w:val="00770957"/>
    <w:rsid w:val="00776812"/>
    <w:rsid w:val="007868AE"/>
    <w:rsid w:val="007949E1"/>
    <w:rsid w:val="0079611C"/>
    <w:rsid w:val="007A6271"/>
    <w:rsid w:val="007B24A2"/>
    <w:rsid w:val="007B5F1C"/>
    <w:rsid w:val="007B7A0E"/>
    <w:rsid w:val="007C509D"/>
    <w:rsid w:val="007F24AA"/>
    <w:rsid w:val="007F30BB"/>
    <w:rsid w:val="007F4E3D"/>
    <w:rsid w:val="00810C95"/>
    <w:rsid w:val="00836C73"/>
    <w:rsid w:val="008524DE"/>
    <w:rsid w:val="00853365"/>
    <w:rsid w:val="00856960"/>
    <w:rsid w:val="0086094A"/>
    <w:rsid w:val="00861890"/>
    <w:rsid w:val="00871C62"/>
    <w:rsid w:val="008762D7"/>
    <w:rsid w:val="008A7E16"/>
    <w:rsid w:val="008B20CF"/>
    <w:rsid w:val="008B4D81"/>
    <w:rsid w:val="008C09B1"/>
    <w:rsid w:val="008C1DCD"/>
    <w:rsid w:val="008C6F85"/>
    <w:rsid w:val="008D1BE4"/>
    <w:rsid w:val="008D565B"/>
    <w:rsid w:val="008E1DC4"/>
    <w:rsid w:val="008E5010"/>
    <w:rsid w:val="008E77BA"/>
    <w:rsid w:val="00926A0C"/>
    <w:rsid w:val="00951631"/>
    <w:rsid w:val="0095653B"/>
    <w:rsid w:val="00970958"/>
    <w:rsid w:val="009734CD"/>
    <w:rsid w:val="0098177A"/>
    <w:rsid w:val="009960C1"/>
    <w:rsid w:val="009A2489"/>
    <w:rsid w:val="009B41AE"/>
    <w:rsid w:val="009B4B7D"/>
    <w:rsid w:val="009C0E61"/>
    <w:rsid w:val="009C5618"/>
    <w:rsid w:val="009D5285"/>
    <w:rsid w:val="009E6172"/>
    <w:rsid w:val="009F221F"/>
    <w:rsid w:val="009F4EFF"/>
    <w:rsid w:val="00A0406C"/>
    <w:rsid w:val="00A13541"/>
    <w:rsid w:val="00A14457"/>
    <w:rsid w:val="00A279B3"/>
    <w:rsid w:val="00A33566"/>
    <w:rsid w:val="00A35C7E"/>
    <w:rsid w:val="00A47EE0"/>
    <w:rsid w:val="00A6440B"/>
    <w:rsid w:val="00A6785F"/>
    <w:rsid w:val="00A702C1"/>
    <w:rsid w:val="00A73EF2"/>
    <w:rsid w:val="00A744AB"/>
    <w:rsid w:val="00A75D56"/>
    <w:rsid w:val="00AA0469"/>
    <w:rsid w:val="00AA195B"/>
    <w:rsid w:val="00AD4F65"/>
    <w:rsid w:val="00AD656E"/>
    <w:rsid w:val="00AE0E81"/>
    <w:rsid w:val="00AE28BD"/>
    <w:rsid w:val="00B3280B"/>
    <w:rsid w:val="00B41414"/>
    <w:rsid w:val="00B562DA"/>
    <w:rsid w:val="00B6086D"/>
    <w:rsid w:val="00B75867"/>
    <w:rsid w:val="00B8096C"/>
    <w:rsid w:val="00B81E40"/>
    <w:rsid w:val="00B83529"/>
    <w:rsid w:val="00B84A75"/>
    <w:rsid w:val="00B93E84"/>
    <w:rsid w:val="00B95BC6"/>
    <w:rsid w:val="00BB6CC4"/>
    <w:rsid w:val="00BC10A9"/>
    <w:rsid w:val="00BC450A"/>
    <w:rsid w:val="00BC746B"/>
    <w:rsid w:val="00BD7070"/>
    <w:rsid w:val="00BF2F0F"/>
    <w:rsid w:val="00BF3F68"/>
    <w:rsid w:val="00C10D30"/>
    <w:rsid w:val="00C17E67"/>
    <w:rsid w:val="00C26438"/>
    <w:rsid w:val="00C30D67"/>
    <w:rsid w:val="00C4610C"/>
    <w:rsid w:val="00C72EB9"/>
    <w:rsid w:val="00C77CCB"/>
    <w:rsid w:val="00C84886"/>
    <w:rsid w:val="00C85062"/>
    <w:rsid w:val="00C951B6"/>
    <w:rsid w:val="00CC18C6"/>
    <w:rsid w:val="00CC360D"/>
    <w:rsid w:val="00CD367C"/>
    <w:rsid w:val="00CD4CB0"/>
    <w:rsid w:val="00CD668D"/>
    <w:rsid w:val="00CF02FA"/>
    <w:rsid w:val="00CF1DEF"/>
    <w:rsid w:val="00D0359A"/>
    <w:rsid w:val="00D212CC"/>
    <w:rsid w:val="00D320FF"/>
    <w:rsid w:val="00D334DE"/>
    <w:rsid w:val="00D34954"/>
    <w:rsid w:val="00D37092"/>
    <w:rsid w:val="00D460A0"/>
    <w:rsid w:val="00D5409E"/>
    <w:rsid w:val="00D55501"/>
    <w:rsid w:val="00D62C9F"/>
    <w:rsid w:val="00D62DD1"/>
    <w:rsid w:val="00D716B9"/>
    <w:rsid w:val="00D779D8"/>
    <w:rsid w:val="00D77B0C"/>
    <w:rsid w:val="00D8754E"/>
    <w:rsid w:val="00DC1E69"/>
    <w:rsid w:val="00DC4D0C"/>
    <w:rsid w:val="00DC7266"/>
    <w:rsid w:val="00DE4B90"/>
    <w:rsid w:val="00DF3CE0"/>
    <w:rsid w:val="00DF7992"/>
    <w:rsid w:val="00E12F44"/>
    <w:rsid w:val="00E15A46"/>
    <w:rsid w:val="00E2491E"/>
    <w:rsid w:val="00E453FE"/>
    <w:rsid w:val="00E6244D"/>
    <w:rsid w:val="00E75909"/>
    <w:rsid w:val="00E90A65"/>
    <w:rsid w:val="00EA4E87"/>
    <w:rsid w:val="00EB2E1E"/>
    <w:rsid w:val="00EB3DB6"/>
    <w:rsid w:val="00ED4068"/>
    <w:rsid w:val="00ED791C"/>
    <w:rsid w:val="00EE24FD"/>
    <w:rsid w:val="00F06B95"/>
    <w:rsid w:val="00F171B5"/>
    <w:rsid w:val="00F26DF4"/>
    <w:rsid w:val="00F34E6A"/>
    <w:rsid w:val="00F36FE4"/>
    <w:rsid w:val="00F37551"/>
    <w:rsid w:val="00F43B85"/>
    <w:rsid w:val="00F461D5"/>
    <w:rsid w:val="00F5100D"/>
    <w:rsid w:val="00F62F9A"/>
    <w:rsid w:val="00F81D5A"/>
    <w:rsid w:val="00F92301"/>
    <w:rsid w:val="00FA675D"/>
    <w:rsid w:val="00FB2D61"/>
    <w:rsid w:val="00FC2DC3"/>
    <w:rsid w:val="00FC2E80"/>
    <w:rsid w:val="00FD48E2"/>
    <w:rsid w:val="00FE3528"/>
    <w:rsid w:val="00FF1D96"/>
    <w:rsid w:val="00FF1FC0"/>
    <w:rsid w:val="00FF5940"/>
    <w:rsid w:val="00FF6FB0"/>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84C67"/>
  <w15:docId w15:val="{B5F2C3D7-DA09-4D27-B3B3-579C30BC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68AE"/>
    <w:rPr>
      <w:rFonts w:ascii="Calibri" w:eastAsia="Calibri" w:hAnsi="Calibri" w:cs="Calibri"/>
      <w:color w:val="000000"/>
    </w:rPr>
  </w:style>
  <w:style w:type="paragraph" w:styleId="Titre3">
    <w:name w:val="heading 3"/>
    <w:basedOn w:val="Normal1"/>
    <w:next w:val="Normal1"/>
    <w:link w:val="Titre3Car"/>
    <w:rsid w:val="007868AE"/>
    <w:pPr>
      <w:keepNext/>
      <w:keepLines/>
      <w:spacing w:before="280" w:after="80"/>
      <w:contextualSpacing/>
      <w:outlineLvl w:val="2"/>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868AE"/>
    <w:rPr>
      <w:rFonts w:ascii="Calibri" w:eastAsia="Calibri" w:hAnsi="Calibri" w:cs="Calibri"/>
      <w:b/>
      <w:color w:val="000000"/>
      <w:sz w:val="28"/>
      <w:szCs w:val="28"/>
    </w:rPr>
  </w:style>
  <w:style w:type="paragraph" w:customStyle="1" w:styleId="Normal1">
    <w:name w:val="Normal1"/>
    <w:rsid w:val="007868AE"/>
    <w:rPr>
      <w:rFonts w:ascii="Calibri" w:eastAsia="Calibri" w:hAnsi="Calibri" w:cs="Calibri"/>
      <w:color w:val="000000"/>
    </w:rPr>
  </w:style>
  <w:style w:type="character" w:styleId="Lienhypertexte">
    <w:name w:val="Hyperlink"/>
    <w:basedOn w:val="Policepardfaut"/>
    <w:uiPriority w:val="99"/>
    <w:unhideWhenUsed/>
    <w:rsid w:val="007868AE"/>
    <w:rPr>
      <w:color w:val="0563C1" w:themeColor="hyperlink"/>
      <w:u w:val="single"/>
    </w:rPr>
  </w:style>
  <w:style w:type="paragraph" w:styleId="Sansinterligne">
    <w:name w:val="No Spacing"/>
    <w:link w:val="SansinterligneCar"/>
    <w:uiPriority w:val="1"/>
    <w:qFormat/>
    <w:rsid w:val="007868AE"/>
    <w:pPr>
      <w:spacing w:after="0" w:line="240" w:lineRule="auto"/>
    </w:pPr>
    <w:rPr>
      <w:rFonts w:ascii="Calibri" w:eastAsia="Calibri" w:hAnsi="Calibri" w:cs="Calibri"/>
      <w:color w:val="000000"/>
    </w:rPr>
  </w:style>
  <w:style w:type="paragraph" w:styleId="Pieddepage">
    <w:name w:val="footer"/>
    <w:basedOn w:val="Normal"/>
    <w:link w:val="PieddepageCar"/>
    <w:uiPriority w:val="99"/>
    <w:unhideWhenUsed/>
    <w:rsid w:val="007868A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868AE"/>
    <w:rPr>
      <w:rFonts w:ascii="Calibri" w:eastAsia="Calibri" w:hAnsi="Calibri" w:cs="Calibri"/>
      <w:color w:val="000000"/>
    </w:rPr>
  </w:style>
  <w:style w:type="paragraph" w:customStyle="1" w:styleId="NormalText">
    <w:name w:val="Normal Text"/>
    <w:basedOn w:val="Normal"/>
    <w:link w:val="NormalTextChar"/>
    <w:qFormat/>
    <w:rsid w:val="007868AE"/>
    <w:pPr>
      <w:spacing w:after="0" w:line="255" w:lineRule="exact"/>
    </w:pPr>
    <w:rPr>
      <w:rFonts w:ascii="NeueHaasGroteskDisp Pro Lt" w:eastAsia="MS Mincho" w:hAnsi="NeueHaasGroteskDisp Pro Lt" w:cs="Times New Roman"/>
      <w:color w:val="auto"/>
      <w:sz w:val="21"/>
      <w:szCs w:val="21"/>
    </w:rPr>
  </w:style>
  <w:style w:type="character" w:customStyle="1" w:styleId="NormalTextChar">
    <w:name w:val="Normal Text Char"/>
    <w:basedOn w:val="Policepardfaut"/>
    <w:link w:val="NormalText"/>
    <w:rsid w:val="007868AE"/>
    <w:rPr>
      <w:rFonts w:ascii="NeueHaasGroteskDisp Pro Lt" w:eastAsia="MS Mincho" w:hAnsi="NeueHaasGroteskDisp Pro Lt" w:cs="Times New Roman"/>
      <w:sz w:val="21"/>
      <w:szCs w:val="21"/>
    </w:rPr>
  </w:style>
  <w:style w:type="table" w:styleId="Ombrageclair">
    <w:name w:val="Light Shading"/>
    <w:basedOn w:val="TableauNormal"/>
    <w:uiPriority w:val="60"/>
    <w:rsid w:val="007868AE"/>
    <w:pPr>
      <w:spacing w:after="0" w:line="240" w:lineRule="auto"/>
    </w:pPr>
    <w:rPr>
      <w:rFonts w:ascii="NeueHaasGroteskText Pro" w:hAnsi="NeueHaasGroteskText Pro" w:cs="Times New Roman"/>
      <w:color w:val="000000" w:themeColor="text1" w:themeShade="BF"/>
      <w:sz w:val="24"/>
      <w:szCs w:val="24"/>
    </w:rPr>
    <w:tblPr>
      <w:tblStyleRowBandSize w:val="1"/>
      <w:tblStyleColBandSize w:val="1"/>
      <w:tblBorders>
        <w:top w:val="single" w:sz="2" w:space="0" w:color="D9D9D9" w:themeColor="background1" w:themeShade="D9"/>
        <w:bottom w:val="single" w:sz="2" w:space="0" w:color="D9D9D9" w:themeColor="background1" w:themeShade="D9"/>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1">
    <w:name w:val="Table Normal1"/>
    <w:rsid w:val="006016F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character" w:customStyle="1" w:styleId="Hyperlink0">
    <w:name w:val="Hyperlink.0"/>
    <w:basedOn w:val="Lienhypertexte"/>
    <w:rsid w:val="006016F4"/>
    <w:rPr>
      <w:color w:val="0563C1"/>
      <w:u w:val="single" w:color="0563C1"/>
    </w:rPr>
  </w:style>
  <w:style w:type="character" w:customStyle="1" w:styleId="Hyperlink1">
    <w:name w:val="Hyperlink.1"/>
    <w:basedOn w:val="Hyperlink0"/>
    <w:rsid w:val="006016F4"/>
    <w:rPr>
      <w:color w:val="0563C1"/>
      <w:u w:val="single" w:color="0563C1"/>
      <w:lang w:val="en-US"/>
    </w:rPr>
  </w:style>
  <w:style w:type="character" w:customStyle="1" w:styleId="Hyperlink2">
    <w:name w:val="Hyperlink.2"/>
    <w:basedOn w:val="Hyperlink0"/>
    <w:rsid w:val="006016F4"/>
    <w:rPr>
      <w:color w:val="0563C1"/>
      <w:u w:val="single" w:color="0563C1"/>
      <w:lang w:val="fr-FR"/>
    </w:rPr>
  </w:style>
  <w:style w:type="paragraph" w:styleId="En-tte">
    <w:name w:val="header"/>
    <w:basedOn w:val="Normal"/>
    <w:link w:val="En-tteCar"/>
    <w:uiPriority w:val="99"/>
    <w:unhideWhenUsed/>
    <w:rsid w:val="001306C1"/>
    <w:pPr>
      <w:tabs>
        <w:tab w:val="center" w:pos="4680"/>
        <w:tab w:val="right" w:pos="9360"/>
      </w:tabs>
      <w:spacing w:after="0" w:line="240" w:lineRule="auto"/>
    </w:pPr>
  </w:style>
  <w:style w:type="character" w:customStyle="1" w:styleId="En-tteCar">
    <w:name w:val="En-tête Car"/>
    <w:basedOn w:val="Policepardfaut"/>
    <w:link w:val="En-tte"/>
    <w:uiPriority w:val="99"/>
    <w:rsid w:val="001306C1"/>
    <w:rPr>
      <w:rFonts w:ascii="Calibri" w:eastAsia="Calibri" w:hAnsi="Calibri" w:cs="Calibri"/>
      <w:color w:val="000000"/>
    </w:rPr>
  </w:style>
  <w:style w:type="character" w:customStyle="1" w:styleId="apple-converted-space">
    <w:name w:val="apple-converted-space"/>
    <w:basedOn w:val="Policepardfaut"/>
    <w:rsid w:val="009F4EFF"/>
  </w:style>
  <w:style w:type="paragraph" w:styleId="Textedebulles">
    <w:name w:val="Balloon Text"/>
    <w:basedOn w:val="Normal"/>
    <w:link w:val="TextedebullesCar"/>
    <w:uiPriority w:val="99"/>
    <w:semiHidden/>
    <w:unhideWhenUsed/>
    <w:rsid w:val="001A2B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2B24"/>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9D5285"/>
    <w:rPr>
      <w:color w:val="954F72" w:themeColor="followedHyperlink"/>
      <w:u w:val="single"/>
    </w:rPr>
  </w:style>
  <w:style w:type="table" w:styleId="Grilledutableau">
    <w:name w:val="Table Grid"/>
    <w:basedOn w:val="TableauNormal"/>
    <w:uiPriority w:val="39"/>
    <w:rsid w:val="0087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E0B5D"/>
    <w:pPr>
      <w:spacing w:after="0" w:line="360" w:lineRule="auto"/>
      <w:ind w:left="720"/>
      <w:contextualSpacing/>
    </w:pPr>
    <w:rPr>
      <w:rFonts w:cs="Times New Roman"/>
      <w:color w:val="auto"/>
    </w:rPr>
  </w:style>
  <w:style w:type="character" w:customStyle="1" w:styleId="ParagraphedelisteCar">
    <w:name w:val="Paragraphe de liste Car"/>
    <w:link w:val="Paragraphedeliste"/>
    <w:uiPriority w:val="34"/>
    <w:locked/>
    <w:rsid w:val="006E0B5D"/>
    <w:rPr>
      <w:rFonts w:ascii="Calibri" w:eastAsia="Calibri" w:hAnsi="Calibri" w:cs="Times New Roman"/>
    </w:rPr>
  </w:style>
  <w:style w:type="character" w:customStyle="1" w:styleId="Mention1">
    <w:name w:val="Mention1"/>
    <w:basedOn w:val="Policepardfaut"/>
    <w:uiPriority w:val="99"/>
    <w:semiHidden/>
    <w:unhideWhenUsed/>
    <w:rsid w:val="001F6000"/>
    <w:rPr>
      <w:color w:val="2B579A"/>
      <w:shd w:val="clear" w:color="auto" w:fill="E6E6E6"/>
    </w:rPr>
  </w:style>
  <w:style w:type="character" w:styleId="Marquedecommentaire">
    <w:name w:val="annotation reference"/>
    <w:basedOn w:val="Policepardfaut"/>
    <w:uiPriority w:val="99"/>
    <w:semiHidden/>
    <w:unhideWhenUsed/>
    <w:rsid w:val="00036160"/>
    <w:rPr>
      <w:sz w:val="16"/>
      <w:szCs w:val="16"/>
    </w:rPr>
  </w:style>
  <w:style w:type="paragraph" w:styleId="Commentaire">
    <w:name w:val="annotation text"/>
    <w:basedOn w:val="Normal"/>
    <w:link w:val="CommentaireCar"/>
    <w:uiPriority w:val="99"/>
    <w:semiHidden/>
    <w:unhideWhenUsed/>
    <w:rsid w:val="00036160"/>
    <w:pPr>
      <w:spacing w:line="240" w:lineRule="auto"/>
    </w:pPr>
    <w:rPr>
      <w:sz w:val="20"/>
      <w:szCs w:val="20"/>
    </w:rPr>
  </w:style>
  <w:style w:type="character" w:customStyle="1" w:styleId="CommentaireCar">
    <w:name w:val="Commentaire Car"/>
    <w:basedOn w:val="Policepardfaut"/>
    <w:link w:val="Commentaire"/>
    <w:uiPriority w:val="99"/>
    <w:semiHidden/>
    <w:rsid w:val="0003616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036160"/>
    <w:rPr>
      <w:b/>
      <w:bCs/>
    </w:rPr>
  </w:style>
  <w:style w:type="character" w:customStyle="1" w:styleId="ObjetducommentaireCar">
    <w:name w:val="Objet du commentaire Car"/>
    <w:basedOn w:val="CommentaireCar"/>
    <w:link w:val="Objetducommentaire"/>
    <w:uiPriority w:val="99"/>
    <w:semiHidden/>
    <w:rsid w:val="00036160"/>
    <w:rPr>
      <w:rFonts w:ascii="Calibri" w:eastAsia="Calibri" w:hAnsi="Calibri" w:cs="Calibri"/>
      <w:b/>
      <w:bCs/>
      <w:color w:val="000000"/>
      <w:sz w:val="20"/>
      <w:szCs w:val="20"/>
    </w:rPr>
  </w:style>
  <w:style w:type="paragraph" w:styleId="Rvision">
    <w:name w:val="Revision"/>
    <w:hidden/>
    <w:uiPriority w:val="99"/>
    <w:semiHidden/>
    <w:rsid w:val="00036160"/>
    <w:pPr>
      <w:spacing w:after="0" w:line="240" w:lineRule="auto"/>
    </w:pPr>
    <w:rPr>
      <w:rFonts w:ascii="Calibri" w:eastAsia="Calibri" w:hAnsi="Calibri" w:cs="Calibri"/>
      <w:color w:val="000000"/>
    </w:rPr>
  </w:style>
  <w:style w:type="character" w:customStyle="1" w:styleId="SansinterligneCar">
    <w:name w:val="Sans interligne Car"/>
    <w:link w:val="Sansinterligne"/>
    <w:uiPriority w:val="1"/>
    <w:rsid w:val="00D5409E"/>
    <w:rPr>
      <w:rFonts w:ascii="Calibri" w:eastAsia="Calibri" w:hAnsi="Calibri" w:cs="Calibri"/>
      <w:color w:val="000000"/>
    </w:rPr>
  </w:style>
  <w:style w:type="table" w:styleId="TableauGrille1Clair-Accentuation5">
    <w:name w:val="Grid Table 1 Light Accent 5"/>
    <w:basedOn w:val="TableauNormal"/>
    <w:uiPriority w:val="46"/>
    <w:rsid w:val="00D5409E"/>
    <w:pPr>
      <w:spacing w:after="0" w:line="240" w:lineRule="auto"/>
    </w:pPr>
    <w:rPr>
      <w:rFonts w:ascii="Calibri" w:eastAsia="Calibri" w:hAnsi="Calibri" w:cs="Times New Roman"/>
      <w:sz w:val="20"/>
      <w:szCs w:val="20"/>
      <w:lang w:val="fr-FR" w:eastAsia="fr-FR"/>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Mention">
    <w:name w:val="Mention"/>
    <w:basedOn w:val="Policepardfaut"/>
    <w:uiPriority w:val="99"/>
    <w:semiHidden/>
    <w:unhideWhenUsed/>
    <w:rsid w:val="007949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3460">
      <w:bodyDiv w:val="1"/>
      <w:marLeft w:val="0"/>
      <w:marRight w:val="0"/>
      <w:marTop w:val="0"/>
      <w:marBottom w:val="0"/>
      <w:divBdr>
        <w:top w:val="none" w:sz="0" w:space="0" w:color="auto"/>
        <w:left w:val="none" w:sz="0" w:space="0" w:color="auto"/>
        <w:bottom w:val="none" w:sz="0" w:space="0" w:color="auto"/>
        <w:right w:val="none" w:sz="0" w:space="0" w:color="auto"/>
      </w:divBdr>
    </w:div>
    <w:div w:id="11647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next.com" TargetMode="External"/><Relationship Id="rId13" Type="http://schemas.openxmlformats.org/officeDocument/2006/relationships/hyperlink" Target="mailto:%25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arnext@newcap.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hennecke@mc-services.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vestors@pharnex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0.150.110.2\RussoPartnersLLC\Current%20Clients\Pharnext\News%20Releases\PXT-3003%20DSMB\www.pharnext.com" TargetMode="External"/><Relationship Id="rId14" Type="http://schemas.openxmlformats.org/officeDocument/2006/relationships/hyperlink" Target="mailto:Tony.russo@russopartnersllc.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harnext.com" TargetMode="External"/><Relationship Id="rId1" Type="http://schemas.openxmlformats.org/officeDocument/2006/relationships/hyperlink" Target="http://www.phar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B41B-CB5C-48E4-8AD8-FC043154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7825</Characters>
  <Application>Microsoft Office Word</Application>
  <DocSecurity>4</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Zehnwirth</dc:creator>
  <cp:lastModifiedBy>Caroline MERTENS</cp:lastModifiedBy>
  <cp:revision>2</cp:revision>
  <cp:lastPrinted>2017-04-27T12:03:00Z</cp:lastPrinted>
  <dcterms:created xsi:type="dcterms:W3CDTF">2017-04-27T12:04:00Z</dcterms:created>
  <dcterms:modified xsi:type="dcterms:W3CDTF">2017-04-27T12:04:00Z</dcterms:modified>
</cp:coreProperties>
</file>